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BA" w:rsidRPr="00CA52DD" w:rsidRDefault="00CA6B2B" w:rsidP="00CA6B2B">
      <w:pPr>
        <w:rPr>
          <w:rFonts w:eastAsia="Times New Roman"/>
          <w:i/>
          <w:lang w:val="kk-KZ" w:eastAsia="ru-RU"/>
        </w:rPr>
      </w:pPr>
      <w:bookmarkStart w:id="0" w:name="_GoBack"/>
      <w:bookmarkEnd w:id="0"/>
      <w:r w:rsidRPr="00CA52DD">
        <w:rPr>
          <w:rFonts w:eastAsia="Times New Roman"/>
          <w:i/>
          <w:lang w:val="kk-KZ" w:eastAsia="ru-RU"/>
        </w:rPr>
        <w:t>Проект</w:t>
      </w:r>
    </w:p>
    <w:p w:rsidR="00F70FBA" w:rsidRPr="00CA52DD" w:rsidRDefault="006578EF" w:rsidP="00F70FBA">
      <w:pPr>
        <w:jc w:val="center"/>
        <w:rPr>
          <w:rFonts w:eastAsia="Times New Roman"/>
          <w:b/>
          <w:lang w:val="kk-KZ" w:eastAsia="ru-RU"/>
        </w:rPr>
      </w:pPr>
      <w:r w:rsidRPr="00CA52DD">
        <w:rPr>
          <w:rFonts w:eastAsia="Times New Roman"/>
          <w:b/>
          <w:lang w:eastAsia="ru-RU"/>
        </w:rPr>
        <w:t>Дорожная карта</w:t>
      </w:r>
    </w:p>
    <w:p w:rsidR="00F70FBA" w:rsidRPr="00CA52DD" w:rsidRDefault="00F70FBA" w:rsidP="00F70FBA">
      <w:pPr>
        <w:jc w:val="center"/>
        <w:rPr>
          <w:rFonts w:eastAsia="Times New Roman"/>
          <w:b/>
          <w:lang w:eastAsia="ru-RU"/>
        </w:rPr>
      </w:pPr>
      <w:r w:rsidRPr="00CA52DD">
        <w:rPr>
          <w:rFonts w:eastAsia="Times New Roman"/>
          <w:b/>
          <w:lang w:eastAsia="ru-RU"/>
        </w:rPr>
        <w:t xml:space="preserve"> по </w:t>
      </w:r>
      <w:r w:rsidR="008060CD" w:rsidRPr="00CA52DD">
        <w:rPr>
          <w:rFonts w:eastAsia="Times New Roman"/>
          <w:b/>
          <w:lang w:eastAsia="ru-RU"/>
        </w:rPr>
        <w:t xml:space="preserve">вопросам </w:t>
      </w:r>
      <w:r w:rsidRPr="00CA52DD">
        <w:rPr>
          <w:rFonts w:eastAsia="Times New Roman"/>
          <w:b/>
          <w:lang w:eastAsia="ru-RU"/>
        </w:rPr>
        <w:t>развити</w:t>
      </w:r>
      <w:r w:rsidR="008060CD" w:rsidRPr="00CA52DD">
        <w:rPr>
          <w:rFonts w:eastAsia="Times New Roman"/>
          <w:b/>
          <w:lang w:eastAsia="ru-RU"/>
        </w:rPr>
        <w:t>я</w:t>
      </w:r>
      <w:r w:rsidRPr="00CA52DD">
        <w:rPr>
          <w:rFonts w:eastAsia="Times New Roman"/>
          <w:b/>
          <w:lang w:eastAsia="ru-RU"/>
        </w:rPr>
        <w:t xml:space="preserve"> </w:t>
      </w:r>
      <w:r w:rsidR="005C1E8E" w:rsidRPr="00CA52DD">
        <w:rPr>
          <w:rFonts w:eastAsia="Times New Roman"/>
          <w:b/>
          <w:lang w:eastAsia="ru-RU"/>
        </w:rPr>
        <w:t>фармацевтической</w:t>
      </w:r>
      <w:r w:rsidRPr="00CA52DD">
        <w:rPr>
          <w:rFonts w:eastAsia="Times New Roman"/>
          <w:b/>
          <w:lang w:eastAsia="ru-RU"/>
        </w:rPr>
        <w:t xml:space="preserve"> промышленности на 201</w:t>
      </w:r>
      <w:r w:rsidR="00747E0E" w:rsidRPr="00CA52DD">
        <w:rPr>
          <w:rFonts w:eastAsia="Times New Roman"/>
          <w:b/>
          <w:lang w:eastAsia="ru-RU"/>
        </w:rPr>
        <w:t>7</w:t>
      </w:r>
      <w:r w:rsidRPr="00CA52DD">
        <w:rPr>
          <w:rFonts w:eastAsia="Times New Roman"/>
          <w:b/>
          <w:lang w:eastAsia="ru-RU"/>
        </w:rPr>
        <w:t xml:space="preserve"> – 20</w:t>
      </w:r>
      <w:r w:rsidR="00747E0E" w:rsidRPr="00CA52DD">
        <w:rPr>
          <w:rFonts w:eastAsia="Times New Roman"/>
          <w:b/>
          <w:lang w:eastAsia="ru-RU"/>
        </w:rPr>
        <w:t>21</w:t>
      </w:r>
      <w:r w:rsidRPr="00CA52DD">
        <w:rPr>
          <w:rFonts w:eastAsia="Times New Roman"/>
          <w:b/>
          <w:lang w:eastAsia="ru-RU"/>
        </w:rPr>
        <w:t xml:space="preserve"> годы</w:t>
      </w:r>
    </w:p>
    <w:p w:rsidR="00F70FBA" w:rsidRPr="00CA52DD" w:rsidRDefault="00F70FBA" w:rsidP="00F70FBA">
      <w:pPr>
        <w:jc w:val="center"/>
        <w:rPr>
          <w:rFonts w:eastAsia="Times New Roman"/>
          <w:b/>
          <w:lang w:eastAsia="ru-RU"/>
        </w:rPr>
      </w:pPr>
    </w:p>
    <w:tbl>
      <w:tblPr>
        <w:tblW w:w="4991" w:type="pct"/>
        <w:jc w:val="center"/>
        <w:tblLayout w:type="fixed"/>
        <w:tblCellMar>
          <w:left w:w="0" w:type="dxa"/>
          <w:right w:w="0" w:type="dxa"/>
        </w:tblCellMar>
        <w:tblLook w:val="04A0" w:firstRow="1" w:lastRow="0" w:firstColumn="1" w:lastColumn="0" w:noHBand="0" w:noVBand="1"/>
      </w:tblPr>
      <w:tblGrid>
        <w:gridCol w:w="566"/>
        <w:gridCol w:w="3460"/>
        <w:gridCol w:w="1470"/>
        <w:gridCol w:w="1746"/>
        <w:gridCol w:w="1638"/>
        <w:gridCol w:w="571"/>
        <w:gridCol w:w="582"/>
        <w:gridCol w:w="724"/>
        <w:gridCol w:w="715"/>
        <w:gridCol w:w="880"/>
        <w:gridCol w:w="1842"/>
      </w:tblGrid>
      <w:tr w:rsidR="00F70FBA" w:rsidRPr="00CA52DD" w:rsidTr="004B6284">
        <w:trPr>
          <w:trHeight w:val="452"/>
          <w:jc w:val="center"/>
        </w:trPr>
        <w:tc>
          <w:tcPr>
            <w:tcW w:w="199"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F70FBA" w:rsidRPr="00CA52DD" w:rsidRDefault="00F70FBA" w:rsidP="00543C37">
            <w:pPr>
              <w:autoSpaceDE w:val="0"/>
              <w:autoSpaceDN w:val="0"/>
              <w:jc w:val="center"/>
              <w:rPr>
                <w:rFonts w:eastAsia="Times New Roman"/>
                <w:b/>
              </w:rPr>
            </w:pPr>
            <w:r w:rsidRPr="00CA52DD">
              <w:rPr>
                <w:rFonts w:eastAsia="Times New Roman"/>
                <w:b/>
                <w:bCs/>
              </w:rPr>
              <w:t xml:space="preserve">№ </w:t>
            </w:r>
            <w:proofErr w:type="gramStart"/>
            <w:r w:rsidRPr="00CA52DD">
              <w:rPr>
                <w:rFonts w:eastAsia="Times New Roman"/>
                <w:b/>
                <w:bCs/>
              </w:rPr>
              <w:t>п</w:t>
            </w:r>
            <w:proofErr w:type="gramEnd"/>
            <w:r w:rsidRPr="00CA52DD">
              <w:rPr>
                <w:rFonts w:eastAsia="Times New Roman"/>
                <w:b/>
                <w:bCs/>
              </w:rPr>
              <w:t>/п</w:t>
            </w:r>
          </w:p>
        </w:tc>
        <w:tc>
          <w:tcPr>
            <w:tcW w:w="1219"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F70FBA" w:rsidRPr="00CA52DD" w:rsidRDefault="00F70FBA" w:rsidP="00543C37">
            <w:pPr>
              <w:autoSpaceDE w:val="0"/>
              <w:autoSpaceDN w:val="0"/>
              <w:jc w:val="center"/>
              <w:rPr>
                <w:rFonts w:eastAsia="Times New Roman"/>
                <w:b/>
              </w:rPr>
            </w:pPr>
            <w:r w:rsidRPr="00CA52DD">
              <w:rPr>
                <w:rFonts w:eastAsia="Calibri"/>
                <w:b/>
                <w:color w:val="000000"/>
              </w:rPr>
              <w:t>Наименование</w:t>
            </w:r>
            <w:r w:rsidRPr="00CA52DD">
              <w:rPr>
                <w:rFonts w:eastAsia="Times New Roman"/>
                <w:b/>
                <w:bCs/>
              </w:rPr>
              <w:t xml:space="preserve"> мероприятие</w:t>
            </w:r>
          </w:p>
        </w:tc>
        <w:tc>
          <w:tcPr>
            <w:tcW w:w="518"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F70FBA" w:rsidRPr="00CA52DD" w:rsidRDefault="00F70FBA" w:rsidP="00543C37">
            <w:pPr>
              <w:autoSpaceDE w:val="0"/>
              <w:autoSpaceDN w:val="0"/>
              <w:jc w:val="center"/>
              <w:rPr>
                <w:rFonts w:eastAsia="Times New Roman"/>
                <w:b/>
              </w:rPr>
            </w:pPr>
            <w:r w:rsidRPr="00CA52DD">
              <w:rPr>
                <w:rFonts w:eastAsia="Times New Roman"/>
                <w:b/>
                <w:bCs/>
              </w:rPr>
              <w:t>Форма завершения</w:t>
            </w:r>
          </w:p>
        </w:tc>
        <w:tc>
          <w:tcPr>
            <w:tcW w:w="615"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F70FBA" w:rsidRPr="00CA52DD" w:rsidRDefault="00F70FBA" w:rsidP="00543C37">
            <w:pPr>
              <w:autoSpaceDE w:val="0"/>
              <w:autoSpaceDN w:val="0"/>
              <w:jc w:val="center"/>
              <w:rPr>
                <w:rFonts w:eastAsia="Times New Roman"/>
                <w:b/>
              </w:rPr>
            </w:pPr>
            <w:r w:rsidRPr="00CA52DD">
              <w:rPr>
                <w:rFonts w:eastAsia="Times New Roman"/>
                <w:b/>
                <w:bCs/>
              </w:rPr>
              <w:t>Ответственные исполнители</w:t>
            </w:r>
          </w:p>
        </w:tc>
        <w:tc>
          <w:tcPr>
            <w:tcW w:w="577" w:type="pct"/>
            <w:vMerge w:val="restart"/>
            <w:tcBorders>
              <w:top w:val="single" w:sz="8" w:space="0" w:color="auto"/>
              <w:left w:val="nil"/>
              <w:right w:val="single" w:sz="4" w:space="0" w:color="auto"/>
            </w:tcBorders>
            <w:tcMar>
              <w:top w:w="0" w:type="dxa"/>
              <w:left w:w="108" w:type="dxa"/>
              <w:bottom w:w="0" w:type="dxa"/>
              <w:right w:w="108" w:type="dxa"/>
            </w:tcMar>
            <w:vAlign w:val="center"/>
            <w:hideMark/>
          </w:tcPr>
          <w:p w:rsidR="00F70FBA" w:rsidRPr="00CA52DD" w:rsidRDefault="00F70FBA" w:rsidP="00543C37">
            <w:pPr>
              <w:autoSpaceDE w:val="0"/>
              <w:autoSpaceDN w:val="0"/>
              <w:jc w:val="center"/>
              <w:rPr>
                <w:rFonts w:eastAsia="Times New Roman"/>
                <w:b/>
              </w:rPr>
            </w:pPr>
            <w:r w:rsidRPr="00CA52DD">
              <w:rPr>
                <w:rFonts w:eastAsia="Times New Roman"/>
                <w:b/>
                <w:bCs/>
              </w:rPr>
              <w:t>Сроки исполнения</w:t>
            </w:r>
          </w:p>
        </w:tc>
        <w:tc>
          <w:tcPr>
            <w:tcW w:w="1223" w:type="pct"/>
            <w:gridSpan w:val="5"/>
            <w:tcBorders>
              <w:top w:val="single" w:sz="8" w:space="0" w:color="auto"/>
              <w:left w:val="single" w:sz="4" w:space="0" w:color="auto"/>
              <w:bottom w:val="single" w:sz="4" w:space="0" w:color="auto"/>
              <w:right w:val="single" w:sz="8" w:space="0" w:color="auto"/>
            </w:tcBorders>
            <w:vAlign w:val="center"/>
          </w:tcPr>
          <w:p w:rsidR="00F70FBA" w:rsidRPr="00CA52DD" w:rsidRDefault="00F70FBA" w:rsidP="00543C37">
            <w:pPr>
              <w:autoSpaceDE w:val="0"/>
              <w:autoSpaceDN w:val="0"/>
              <w:jc w:val="center"/>
              <w:rPr>
                <w:rFonts w:eastAsia="Times New Roman"/>
                <w:b/>
              </w:rPr>
            </w:pPr>
            <w:r w:rsidRPr="00CA52DD">
              <w:rPr>
                <w:rFonts w:eastAsia="Times New Roman"/>
                <w:b/>
              </w:rPr>
              <w:t>Предполагаемые расходы</w:t>
            </w:r>
          </w:p>
          <w:p w:rsidR="00F70FBA" w:rsidRPr="00CA52DD" w:rsidRDefault="00F70FBA" w:rsidP="00543C37">
            <w:pPr>
              <w:autoSpaceDE w:val="0"/>
              <w:autoSpaceDN w:val="0"/>
              <w:jc w:val="center"/>
              <w:rPr>
                <w:rFonts w:eastAsia="Times New Roman"/>
                <w:b/>
              </w:rPr>
            </w:pPr>
            <w:r w:rsidRPr="00CA52DD">
              <w:rPr>
                <w:rFonts w:eastAsia="Times New Roman"/>
                <w:b/>
              </w:rPr>
              <w:t>(мл</w:t>
            </w:r>
            <w:r w:rsidRPr="00CA52DD">
              <w:rPr>
                <w:rFonts w:eastAsia="Times New Roman"/>
                <w:b/>
                <w:lang w:val="kk-KZ"/>
              </w:rPr>
              <w:t>н</w:t>
            </w:r>
            <w:r w:rsidRPr="00CA52DD">
              <w:rPr>
                <w:rFonts w:eastAsia="Times New Roman"/>
                <w:b/>
              </w:rPr>
              <w:t>. тенге)</w:t>
            </w:r>
          </w:p>
        </w:tc>
        <w:tc>
          <w:tcPr>
            <w:tcW w:w="649"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F70FBA" w:rsidRPr="00CA52DD" w:rsidRDefault="00F70FBA" w:rsidP="00543C37">
            <w:pPr>
              <w:autoSpaceDE w:val="0"/>
              <w:autoSpaceDN w:val="0"/>
              <w:jc w:val="center"/>
              <w:rPr>
                <w:rFonts w:eastAsia="Times New Roman"/>
                <w:b/>
                <w:bCs/>
              </w:rPr>
            </w:pPr>
            <w:r w:rsidRPr="00CA52DD">
              <w:rPr>
                <w:rFonts w:eastAsia="Times New Roman"/>
                <w:b/>
                <w:bCs/>
              </w:rPr>
              <w:t>Источники финансирования</w:t>
            </w:r>
          </w:p>
        </w:tc>
      </w:tr>
      <w:tr w:rsidR="00F70FBA" w:rsidRPr="00CA52DD" w:rsidTr="004B6284">
        <w:trPr>
          <w:trHeight w:val="159"/>
          <w:jc w:val="center"/>
        </w:trPr>
        <w:tc>
          <w:tcPr>
            <w:tcW w:w="199"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lang w:val="en-US"/>
              </w:rPr>
            </w:pPr>
          </w:p>
        </w:tc>
        <w:tc>
          <w:tcPr>
            <w:tcW w:w="1219" w:type="pct"/>
            <w:vMerge/>
            <w:tcBorders>
              <w:left w:val="nil"/>
              <w:bottom w:val="single" w:sz="4"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lang w:val="en-US"/>
              </w:rPr>
            </w:pPr>
          </w:p>
        </w:tc>
        <w:tc>
          <w:tcPr>
            <w:tcW w:w="518" w:type="pct"/>
            <w:vMerge/>
            <w:tcBorders>
              <w:left w:val="nil"/>
              <w:bottom w:val="single" w:sz="4"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lang w:val="en-US"/>
              </w:rPr>
            </w:pPr>
          </w:p>
        </w:tc>
        <w:tc>
          <w:tcPr>
            <w:tcW w:w="615" w:type="pct"/>
            <w:vMerge/>
            <w:tcBorders>
              <w:left w:val="nil"/>
              <w:bottom w:val="single" w:sz="4"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lang w:val="en-US"/>
              </w:rPr>
            </w:pPr>
          </w:p>
        </w:tc>
        <w:tc>
          <w:tcPr>
            <w:tcW w:w="577" w:type="pct"/>
            <w:vMerge/>
            <w:tcBorders>
              <w:left w:val="nil"/>
              <w:bottom w:val="single" w:sz="4" w:space="0" w:color="auto"/>
              <w:right w:val="single" w:sz="4"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lang w:val="en-US"/>
              </w:rPr>
            </w:pPr>
          </w:p>
        </w:tc>
        <w:tc>
          <w:tcPr>
            <w:tcW w:w="201" w:type="pct"/>
            <w:tcBorders>
              <w:top w:val="single" w:sz="4" w:space="0" w:color="auto"/>
              <w:left w:val="single" w:sz="4" w:space="0" w:color="auto"/>
              <w:bottom w:val="single" w:sz="4" w:space="0" w:color="auto"/>
              <w:right w:val="single" w:sz="4" w:space="0" w:color="auto"/>
            </w:tcBorders>
            <w:vAlign w:val="center"/>
          </w:tcPr>
          <w:p w:rsidR="00F70FBA" w:rsidRPr="00CA52DD" w:rsidRDefault="00F70FBA" w:rsidP="00747E0E">
            <w:pPr>
              <w:autoSpaceDE w:val="0"/>
              <w:autoSpaceDN w:val="0"/>
              <w:jc w:val="center"/>
              <w:rPr>
                <w:rFonts w:eastAsia="Times New Roman"/>
                <w:b/>
                <w:bCs/>
              </w:rPr>
            </w:pPr>
            <w:r w:rsidRPr="00CA52DD">
              <w:rPr>
                <w:rFonts w:eastAsia="Times New Roman"/>
                <w:b/>
                <w:bCs/>
              </w:rPr>
              <w:t>201</w:t>
            </w:r>
            <w:r w:rsidR="00747E0E" w:rsidRPr="00CA52DD">
              <w:rPr>
                <w:rFonts w:eastAsia="Times New Roman"/>
                <w:b/>
                <w:bCs/>
              </w:rPr>
              <w:t>7</w:t>
            </w:r>
          </w:p>
        </w:tc>
        <w:tc>
          <w:tcPr>
            <w:tcW w:w="205" w:type="pct"/>
            <w:tcBorders>
              <w:top w:val="single" w:sz="4" w:space="0" w:color="auto"/>
              <w:left w:val="single" w:sz="4" w:space="0" w:color="auto"/>
              <w:bottom w:val="single" w:sz="4" w:space="0" w:color="auto"/>
              <w:right w:val="single" w:sz="4" w:space="0" w:color="auto"/>
            </w:tcBorders>
            <w:vAlign w:val="center"/>
          </w:tcPr>
          <w:p w:rsidR="00F70FBA" w:rsidRPr="00CA52DD" w:rsidRDefault="00F70FBA" w:rsidP="00747E0E">
            <w:pPr>
              <w:autoSpaceDE w:val="0"/>
              <w:autoSpaceDN w:val="0"/>
              <w:jc w:val="center"/>
              <w:rPr>
                <w:rFonts w:eastAsia="Times New Roman"/>
                <w:b/>
                <w:bCs/>
              </w:rPr>
            </w:pPr>
            <w:r w:rsidRPr="00CA52DD">
              <w:rPr>
                <w:rFonts w:eastAsia="Times New Roman"/>
                <w:b/>
                <w:bCs/>
              </w:rPr>
              <w:t>201</w:t>
            </w:r>
            <w:r w:rsidR="00747E0E" w:rsidRPr="00CA52DD">
              <w:rPr>
                <w:rFonts w:eastAsia="Times New Roman"/>
                <w:b/>
                <w:bCs/>
              </w:rPr>
              <w:t>8</w:t>
            </w:r>
          </w:p>
        </w:tc>
        <w:tc>
          <w:tcPr>
            <w:tcW w:w="255" w:type="pct"/>
            <w:tcBorders>
              <w:top w:val="single" w:sz="4" w:space="0" w:color="auto"/>
              <w:left w:val="single" w:sz="4" w:space="0" w:color="auto"/>
              <w:bottom w:val="single" w:sz="4" w:space="0" w:color="auto"/>
              <w:right w:val="single" w:sz="4" w:space="0" w:color="auto"/>
            </w:tcBorders>
            <w:vAlign w:val="center"/>
          </w:tcPr>
          <w:p w:rsidR="00F70FBA" w:rsidRPr="00CA52DD" w:rsidRDefault="00F70FBA" w:rsidP="00747E0E">
            <w:pPr>
              <w:autoSpaceDE w:val="0"/>
              <w:autoSpaceDN w:val="0"/>
              <w:jc w:val="center"/>
              <w:rPr>
                <w:rFonts w:eastAsia="Times New Roman"/>
                <w:b/>
                <w:bCs/>
              </w:rPr>
            </w:pPr>
            <w:r w:rsidRPr="00CA52DD">
              <w:rPr>
                <w:rFonts w:eastAsia="Times New Roman"/>
                <w:b/>
                <w:bCs/>
              </w:rPr>
              <w:t>201</w:t>
            </w:r>
            <w:r w:rsidR="00747E0E" w:rsidRPr="00CA52DD">
              <w:rPr>
                <w:rFonts w:eastAsia="Times New Roman"/>
                <w:b/>
                <w:bCs/>
              </w:rPr>
              <w:t>9</w:t>
            </w:r>
          </w:p>
        </w:tc>
        <w:tc>
          <w:tcPr>
            <w:tcW w:w="252" w:type="pct"/>
            <w:tcBorders>
              <w:top w:val="single" w:sz="4" w:space="0" w:color="auto"/>
              <w:left w:val="single" w:sz="4" w:space="0" w:color="auto"/>
              <w:bottom w:val="single" w:sz="4" w:space="0" w:color="auto"/>
              <w:right w:val="single" w:sz="4" w:space="0" w:color="auto"/>
            </w:tcBorders>
            <w:vAlign w:val="center"/>
          </w:tcPr>
          <w:p w:rsidR="00F70FBA" w:rsidRPr="00CA52DD" w:rsidRDefault="00747E0E" w:rsidP="00747E0E">
            <w:pPr>
              <w:autoSpaceDE w:val="0"/>
              <w:autoSpaceDN w:val="0"/>
              <w:jc w:val="center"/>
              <w:rPr>
                <w:rFonts w:eastAsia="Times New Roman"/>
                <w:b/>
                <w:bCs/>
              </w:rPr>
            </w:pPr>
            <w:r w:rsidRPr="00CA52DD">
              <w:rPr>
                <w:rFonts w:eastAsia="Times New Roman"/>
                <w:b/>
                <w:bCs/>
              </w:rPr>
              <w:t>2020</w:t>
            </w:r>
          </w:p>
        </w:tc>
        <w:tc>
          <w:tcPr>
            <w:tcW w:w="310" w:type="pct"/>
            <w:tcBorders>
              <w:top w:val="single" w:sz="4" w:space="0" w:color="auto"/>
              <w:left w:val="single" w:sz="4" w:space="0" w:color="auto"/>
              <w:bottom w:val="single" w:sz="4" w:space="0" w:color="auto"/>
              <w:right w:val="single" w:sz="8" w:space="0" w:color="auto"/>
            </w:tcBorders>
            <w:vAlign w:val="center"/>
          </w:tcPr>
          <w:p w:rsidR="00F70FBA" w:rsidRPr="00CA52DD" w:rsidRDefault="00F70FBA" w:rsidP="00747E0E">
            <w:pPr>
              <w:autoSpaceDE w:val="0"/>
              <w:autoSpaceDN w:val="0"/>
              <w:jc w:val="center"/>
              <w:rPr>
                <w:rFonts w:eastAsia="Times New Roman"/>
                <w:b/>
                <w:bCs/>
              </w:rPr>
            </w:pPr>
            <w:r w:rsidRPr="00CA52DD">
              <w:rPr>
                <w:rFonts w:eastAsia="Times New Roman"/>
                <w:b/>
                <w:bCs/>
              </w:rPr>
              <w:t>20</w:t>
            </w:r>
            <w:r w:rsidR="00747E0E" w:rsidRPr="00CA52DD">
              <w:rPr>
                <w:rFonts w:eastAsia="Times New Roman"/>
                <w:b/>
                <w:bCs/>
              </w:rPr>
              <w:t>21</w:t>
            </w:r>
          </w:p>
        </w:tc>
        <w:tc>
          <w:tcPr>
            <w:tcW w:w="649" w:type="pct"/>
            <w:vMerge/>
            <w:tcBorders>
              <w:left w:val="nil"/>
              <w:bottom w:val="single" w:sz="4"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lang w:val="en-US"/>
              </w:rPr>
            </w:pPr>
          </w:p>
        </w:tc>
      </w:tr>
      <w:tr w:rsidR="00F70FBA" w:rsidRPr="00CA52DD" w:rsidTr="004B6284">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1</w:t>
            </w: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2</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3</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4</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5</w:t>
            </w:r>
          </w:p>
        </w:tc>
        <w:tc>
          <w:tcPr>
            <w:tcW w:w="201" w:type="pct"/>
            <w:tcBorders>
              <w:top w:val="single" w:sz="4" w:space="0" w:color="auto"/>
              <w:left w:val="single" w:sz="4" w:space="0" w:color="auto"/>
              <w:bottom w:val="single" w:sz="8" w:space="0" w:color="auto"/>
              <w:right w:val="single" w:sz="4" w:space="0" w:color="auto"/>
            </w:tcBorders>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6</w:t>
            </w:r>
          </w:p>
        </w:tc>
        <w:tc>
          <w:tcPr>
            <w:tcW w:w="205" w:type="pct"/>
            <w:tcBorders>
              <w:top w:val="single" w:sz="4" w:space="0" w:color="auto"/>
              <w:left w:val="single" w:sz="4" w:space="0" w:color="auto"/>
              <w:bottom w:val="single" w:sz="8" w:space="0" w:color="auto"/>
              <w:right w:val="single" w:sz="4" w:space="0" w:color="auto"/>
            </w:tcBorders>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7</w:t>
            </w:r>
          </w:p>
        </w:tc>
        <w:tc>
          <w:tcPr>
            <w:tcW w:w="255" w:type="pct"/>
            <w:tcBorders>
              <w:top w:val="single" w:sz="4" w:space="0" w:color="auto"/>
              <w:left w:val="single" w:sz="4" w:space="0" w:color="auto"/>
              <w:bottom w:val="single" w:sz="8" w:space="0" w:color="auto"/>
              <w:right w:val="single" w:sz="4" w:space="0" w:color="auto"/>
            </w:tcBorders>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8</w:t>
            </w:r>
          </w:p>
        </w:tc>
        <w:tc>
          <w:tcPr>
            <w:tcW w:w="252" w:type="pct"/>
            <w:tcBorders>
              <w:top w:val="single" w:sz="4" w:space="0" w:color="auto"/>
              <w:left w:val="single" w:sz="4" w:space="0" w:color="auto"/>
              <w:bottom w:val="single" w:sz="8" w:space="0" w:color="auto"/>
              <w:right w:val="single" w:sz="4" w:space="0" w:color="auto"/>
            </w:tcBorders>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9</w:t>
            </w:r>
          </w:p>
        </w:tc>
        <w:tc>
          <w:tcPr>
            <w:tcW w:w="310" w:type="pct"/>
            <w:tcBorders>
              <w:top w:val="single" w:sz="4" w:space="0" w:color="auto"/>
              <w:left w:val="single" w:sz="4" w:space="0" w:color="auto"/>
              <w:bottom w:val="single" w:sz="8" w:space="0" w:color="auto"/>
              <w:right w:val="single" w:sz="8" w:space="0" w:color="auto"/>
            </w:tcBorders>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10</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70FBA" w:rsidRPr="00CA52DD" w:rsidRDefault="00F70FBA" w:rsidP="00543C37">
            <w:pPr>
              <w:autoSpaceDE w:val="0"/>
              <w:autoSpaceDN w:val="0"/>
              <w:jc w:val="center"/>
              <w:rPr>
                <w:rFonts w:eastAsia="Times New Roman"/>
                <w:b/>
                <w:bCs/>
              </w:rPr>
            </w:pPr>
            <w:r w:rsidRPr="00CA52DD">
              <w:rPr>
                <w:rFonts w:eastAsia="Times New Roman"/>
                <w:b/>
                <w:bCs/>
              </w:rPr>
              <w:t>11</w:t>
            </w:r>
          </w:p>
        </w:tc>
      </w:tr>
      <w:tr w:rsidR="00A5644A" w:rsidRPr="00CA52DD" w:rsidTr="00A5644A">
        <w:trPr>
          <w:trHeight w:val="371"/>
          <w:jc w:val="center"/>
        </w:trPr>
        <w:tc>
          <w:tcPr>
            <w:tcW w:w="5000" w:type="pct"/>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644A" w:rsidRPr="00CA52DD" w:rsidRDefault="005C1E8E" w:rsidP="005C1E8E">
            <w:pPr>
              <w:autoSpaceDE w:val="0"/>
              <w:autoSpaceDN w:val="0"/>
              <w:jc w:val="center"/>
              <w:rPr>
                <w:rFonts w:eastAsia="Times New Roman"/>
                <w:b/>
                <w:bCs/>
              </w:rPr>
            </w:pPr>
            <w:r w:rsidRPr="00CA52DD">
              <w:rPr>
                <w:rFonts w:eastAsia="Times New Roman"/>
                <w:b/>
                <w:bCs/>
              </w:rPr>
              <w:t xml:space="preserve">Краткосрочные проблемные вопросы </w:t>
            </w:r>
          </w:p>
        </w:tc>
      </w:tr>
      <w:tr w:rsidR="005C1E8E" w:rsidRPr="00CA52DD" w:rsidTr="00A5644A">
        <w:trPr>
          <w:trHeight w:val="371"/>
          <w:jc w:val="center"/>
        </w:trPr>
        <w:tc>
          <w:tcPr>
            <w:tcW w:w="5000" w:type="pct"/>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1E8E" w:rsidRPr="00CA52DD" w:rsidRDefault="005C1E8E" w:rsidP="00A5644A">
            <w:pPr>
              <w:autoSpaceDE w:val="0"/>
              <w:autoSpaceDN w:val="0"/>
              <w:jc w:val="center"/>
              <w:rPr>
                <w:rFonts w:eastAsia="Times New Roman"/>
                <w:b/>
                <w:bCs/>
              </w:rPr>
            </w:pPr>
            <w:r w:rsidRPr="00CA52DD">
              <w:rPr>
                <w:rFonts w:eastAsia="Times New Roman"/>
                <w:b/>
                <w:bCs/>
              </w:rPr>
              <w:t>Развитие фармацевтической отрасли</w:t>
            </w:r>
          </w:p>
        </w:tc>
      </w:tr>
      <w:tr w:rsidR="00B864C5" w:rsidRPr="00CA52DD" w:rsidTr="005505A3">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4C5" w:rsidRPr="00CA52DD" w:rsidRDefault="00B864C5" w:rsidP="00B864C5">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5C1E8E" w:rsidP="00F91CA5">
            <w:pPr>
              <w:jc w:val="left"/>
              <w:rPr>
                <w:rFonts w:eastAsia="Times New Roman"/>
                <w:color w:val="000000"/>
                <w:lang w:val="kk-KZ" w:eastAsia="ru-RU"/>
              </w:rPr>
            </w:pPr>
            <w:r w:rsidRPr="00CA52DD">
              <w:rPr>
                <w:rFonts w:eastAsia="Times New Roman"/>
                <w:color w:val="000000"/>
                <w:lang w:val="kk-KZ" w:eastAsia="ru-RU"/>
              </w:rPr>
              <w:t>Утвердить Дорожную карту по развитию фармацевтической промышленности</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4A2ADA" w:rsidP="00B864C5">
            <w:pPr>
              <w:jc w:val="center"/>
              <w:rPr>
                <w:rFonts w:eastAsia="Times New Roman"/>
                <w:color w:val="000000"/>
                <w:lang w:val="kk-KZ" w:eastAsia="ru-RU"/>
              </w:rPr>
            </w:pPr>
            <w:r w:rsidRPr="00CA52DD">
              <w:rPr>
                <w:rFonts w:eastAsia="Times New Roman"/>
                <w:color w:val="000000"/>
                <w:lang w:val="kk-KZ" w:eastAsia="ru-RU"/>
              </w:rPr>
              <w:t>Дорожная карта</w:t>
            </w:r>
            <w:r w:rsidR="00B864C5" w:rsidRPr="00CA52DD">
              <w:rPr>
                <w:rFonts w:eastAsia="Times New Roman"/>
                <w:color w:val="000000"/>
                <w:lang w:val="kk-KZ" w:eastAsia="ru-RU"/>
              </w:rPr>
              <w:t xml:space="preserve"> </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5C1E8E" w:rsidP="00B864C5">
            <w:pPr>
              <w:ind w:left="-89" w:right="-58"/>
              <w:jc w:val="center"/>
              <w:rPr>
                <w:rFonts w:eastAsia="Times New Roman"/>
                <w:color w:val="000000"/>
                <w:lang w:val="kk-KZ" w:eastAsia="ru-RU"/>
              </w:rPr>
            </w:pPr>
            <w:r w:rsidRPr="00CA52DD">
              <w:rPr>
                <w:rFonts w:eastAsia="Times New Roman"/>
                <w:color w:val="000000"/>
                <w:lang w:val="kk-KZ" w:eastAsia="ru-RU"/>
              </w:rPr>
              <w:t>МИР, НПП, МЗ</w:t>
            </w:r>
            <w:r w:rsidR="00DF0398" w:rsidRPr="00CA52DD">
              <w:rPr>
                <w:rFonts w:eastAsia="Times New Roman"/>
                <w:color w:val="000000"/>
                <w:lang w:val="kk-KZ" w:eastAsia="ru-RU"/>
              </w:rPr>
              <w:t xml:space="preserve">, </w:t>
            </w:r>
            <w:r w:rsidR="004A2ADA" w:rsidRPr="00CA52DD">
              <w:rPr>
                <w:rFonts w:eastAsia="Times New Roman"/>
                <w:color w:val="000000"/>
                <w:lang w:val="kk-KZ" w:eastAsia="ru-RU"/>
              </w:rPr>
              <w:t>отраслевые ассоциации</w:t>
            </w:r>
            <w:r w:rsidRPr="00CA52DD">
              <w:rPr>
                <w:rFonts w:eastAsia="Times New Roman"/>
                <w:color w:val="000000"/>
                <w:lang w:val="kk-KZ" w:eastAsia="ru-RU"/>
              </w:rPr>
              <w:t xml:space="preserve"> </w:t>
            </w:r>
            <w:r w:rsidR="004A2ADA" w:rsidRPr="00CA52DD">
              <w:rPr>
                <w:rFonts w:eastAsia="Times New Roman"/>
                <w:color w:val="000000"/>
                <w:lang w:val="kk-KZ" w:eastAsia="ru-RU"/>
              </w:rPr>
              <w:t>(по согласованию)</w:t>
            </w:r>
          </w:p>
          <w:p w:rsidR="00B864C5" w:rsidRPr="00CA52DD" w:rsidRDefault="00B864C5" w:rsidP="00B864C5">
            <w:pPr>
              <w:ind w:left="-89" w:right="-58"/>
              <w:jc w:val="center"/>
              <w:rPr>
                <w:rFonts w:eastAsia="Times New Roman"/>
                <w:color w:val="000000"/>
                <w:lang w:val="kk-KZ" w:eastAsia="ru-RU"/>
              </w:rPr>
            </w:pP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864C5" w:rsidRPr="00CA52DD" w:rsidRDefault="004A2ADA" w:rsidP="004A2ADA">
            <w:pPr>
              <w:autoSpaceDE w:val="0"/>
              <w:autoSpaceDN w:val="0"/>
              <w:jc w:val="center"/>
              <w:rPr>
                <w:rFonts w:eastAsia="Times New Roman"/>
                <w:color w:val="000000"/>
                <w:lang w:val="kk-KZ" w:eastAsia="ru-RU"/>
              </w:rPr>
            </w:pPr>
            <w:r w:rsidRPr="00CA52DD">
              <w:rPr>
                <w:rFonts w:eastAsia="Times New Roman"/>
                <w:color w:val="000000"/>
                <w:lang w:val="kk-KZ" w:eastAsia="ru-RU"/>
              </w:rPr>
              <w:t xml:space="preserve">Декабрь </w:t>
            </w:r>
            <w:r w:rsidR="00B864C5" w:rsidRPr="00CA52DD">
              <w:rPr>
                <w:rFonts w:eastAsia="Times New Roman"/>
                <w:color w:val="000000"/>
                <w:lang w:val="kk-KZ" w:eastAsia="ru-RU"/>
              </w:rPr>
              <w:t>2017</w:t>
            </w:r>
            <w:r w:rsidRPr="00CA52DD">
              <w:rPr>
                <w:rFonts w:eastAsia="Times New Roman"/>
                <w:color w:val="000000"/>
                <w:lang w:val="kk-KZ" w:eastAsia="ru-RU"/>
              </w:rPr>
              <w:t xml:space="preserve"> года </w:t>
            </w:r>
            <w:r w:rsidR="00B864C5" w:rsidRPr="00CA52DD">
              <w:rPr>
                <w:rFonts w:eastAsia="Times New Roman"/>
                <w:color w:val="000000"/>
                <w:lang w:val="kk-KZ" w:eastAsia="ru-RU"/>
              </w:rPr>
              <w:t xml:space="preserve"> – </w:t>
            </w:r>
            <w:r w:rsidRPr="00CA52DD">
              <w:rPr>
                <w:rFonts w:eastAsia="Times New Roman"/>
                <w:color w:val="000000"/>
                <w:lang w:val="kk-KZ" w:eastAsia="ru-RU"/>
              </w:rPr>
              <w:t xml:space="preserve">январь </w:t>
            </w:r>
            <w:r w:rsidR="00B864C5" w:rsidRPr="00CA52DD">
              <w:rPr>
                <w:rFonts w:eastAsia="Times New Roman"/>
                <w:color w:val="000000"/>
                <w:lang w:val="kk-KZ" w:eastAsia="ru-RU"/>
              </w:rPr>
              <w:t>20</w:t>
            </w:r>
            <w:r w:rsidRPr="00CA52DD">
              <w:rPr>
                <w:rFonts w:eastAsia="Times New Roman"/>
                <w:color w:val="000000"/>
                <w:lang w:val="kk-KZ" w:eastAsia="ru-RU"/>
              </w:rPr>
              <w:t>18 года</w:t>
            </w:r>
          </w:p>
        </w:tc>
        <w:tc>
          <w:tcPr>
            <w:tcW w:w="201"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20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25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252"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310" w:type="pct"/>
            <w:tcBorders>
              <w:top w:val="single" w:sz="4" w:space="0" w:color="auto"/>
              <w:left w:val="single" w:sz="4" w:space="0" w:color="auto"/>
              <w:bottom w:val="single" w:sz="8" w:space="0" w:color="auto"/>
              <w:right w:val="single" w:sz="8"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B864C5" w:rsidP="00B864C5">
            <w:pPr>
              <w:autoSpaceDE w:val="0"/>
              <w:autoSpaceDN w:val="0"/>
              <w:jc w:val="center"/>
              <w:rPr>
                <w:rFonts w:eastAsia="Times New Roman"/>
                <w:color w:val="000000"/>
                <w:lang w:val="kk-KZ" w:eastAsia="ru-RU"/>
              </w:rPr>
            </w:pPr>
            <w:r w:rsidRPr="00CA52DD">
              <w:rPr>
                <w:rFonts w:eastAsia="Times New Roman"/>
                <w:color w:val="000000"/>
                <w:lang w:val="kk-KZ" w:eastAsia="ru-RU"/>
              </w:rPr>
              <w:t>В рамках утвержденных сумм в республиканском бюджете на соответствующие годы</w:t>
            </w:r>
          </w:p>
        </w:tc>
      </w:tr>
      <w:tr w:rsidR="00B864C5" w:rsidRPr="00CA52DD" w:rsidTr="009F2BE8">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4C5" w:rsidRPr="00CA52DD" w:rsidRDefault="00B864C5" w:rsidP="00B864C5">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4C5" w:rsidRPr="00CA52DD" w:rsidRDefault="004A2ADA" w:rsidP="004A2ADA">
            <w:pPr>
              <w:autoSpaceDE w:val="0"/>
              <w:autoSpaceDN w:val="0"/>
              <w:jc w:val="both"/>
              <w:rPr>
                <w:rFonts w:eastAsia="Times New Roman"/>
                <w:bCs/>
              </w:rPr>
            </w:pPr>
            <w:r w:rsidRPr="00CA52DD">
              <w:rPr>
                <w:rFonts w:eastAsia="Times New Roman"/>
                <w:bCs/>
              </w:rPr>
              <w:t xml:space="preserve">Порядок формирования и утверждения предельных цен на лекарственные </w:t>
            </w:r>
            <w:r w:rsidR="005C1E8E" w:rsidRPr="00CA52DD">
              <w:rPr>
                <w:rFonts w:eastAsia="Times New Roman"/>
                <w:bCs/>
              </w:rPr>
              <w:t>средства</w:t>
            </w:r>
            <w:r w:rsidRPr="00CA52DD">
              <w:rPr>
                <w:rFonts w:eastAsia="Times New Roman"/>
                <w:bCs/>
              </w:rPr>
              <w:t xml:space="preserve"> и изделия медицинского назначения, закупаемых на централизованном уровне, утвердить в виде стандарта государственной услуги, а также внесение </w:t>
            </w:r>
            <w:r w:rsidRPr="00CA52DD">
              <w:rPr>
                <w:rFonts w:eastAsia="Times New Roman"/>
                <w:bCs/>
              </w:rPr>
              <w:lastRenderedPageBreak/>
              <w:t>регистрацию цен на лекарственные средства и изделия медицинского назначения, закупаемых на централизованном уровне,</w:t>
            </w:r>
            <w:r w:rsidR="005C1E8E" w:rsidRPr="00CA52DD">
              <w:rPr>
                <w:rFonts w:eastAsia="Times New Roman"/>
                <w:bCs/>
              </w:rPr>
              <w:t xml:space="preserve"> в Реестр государственных услуг</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4A2ADA" w:rsidP="00B864C5">
            <w:pPr>
              <w:pStyle w:val="aa"/>
              <w:jc w:val="center"/>
              <w:rPr>
                <w:rFonts w:eastAsiaTheme="minorHAnsi"/>
                <w:sz w:val="28"/>
                <w:szCs w:val="28"/>
                <w:lang w:val="ru-RU" w:eastAsia="en-US"/>
              </w:rPr>
            </w:pPr>
            <w:r w:rsidRPr="00CA52DD">
              <w:rPr>
                <w:rFonts w:eastAsiaTheme="minorHAnsi"/>
                <w:sz w:val="28"/>
                <w:szCs w:val="28"/>
                <w:lang w:val="ru-RU" w:eastAsia="en-US"/>
              </w:rPr>
              <w:lastRenderedPageBreak/>
              <w:t>Стандарт государственной услуги и Реестр государственной услуг</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5C1E8E" w:rsidP="00DF0398">
            <w:pPr>
              <w:autoSpaceDE w:val="0"/>
              <w:autoSpaceDN w:val="0"/>
              <w:jc w:val="center"/>
            </w:pPr>
            <w:r w:rsidRPr="00CA52DD">
              <w:t>МЗ</w:t>
            </w:r>
            <w:r w:rsidR="004A2ADA" w:rsidRPr="00CA52DD">
              <w:t>, МНЭ, МИР, НПП, отраслевые ассоциации (по согласованию)</w:t>
            </w:r>
            <w:r w:rsidRPr="00CA52DD">
              <w:t xml:space="preserve"> </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864C5" w:rsidRPr="00CA52DD" w:rsidRDefault="00B864C5" w:rsidP="00A42F55">
            <w:pPr>
              <w:jc w:val="center"/>
            </w:pPr>
            <w:r w:rsidRPr="00CA52DD">
              <w:rPr>
                <w:lang w:val="en-US"/>
              </w:rPr>
              <w:t xml:space="preserve">I </w:t>
            </w:r>
            <w:r w:rsidRPr="00CA52DD">
              <w:t>квартал 2018 г.</w:t>
            </w:r>
          </w:p>
        </w:tc>
        <w:tc>
          <w:tcPr>
            <w:tcW w:w="201"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r w:rsidRPr="00CA52DD">
              <w:t>-</w:t>
            </w:r>
          </w:p>
        </w:tc>
        <w:tc>
          <w:tcPr>
            <w:tcW w:w="20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r w:rsidRPr="00CA52DD">
              <w:t>-</w:t>
            </w:r>
          </w:p>
        </w:tc>
        <w:tc>
          <w:tcPr>
            <w:tcW w:w="25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r w:rsidRPr="00CA52DD">
              <w:t>-</w:t>
            </w:r>
          </w:p>
        </w:tc>
        <w:tc>
          <w:tcPr>
            <w:tcW w:w="252"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r w:rsidRPr="00CA52DD">
              <w:t>-</w:t>
            </w:r>
          </w:p>
        </w:tc>
        <w:tc>
          <w:tcPr>
            <w:tcW w:w="310" w:type="pct"/>
            <w:tcBorders>
              <w:top w:val="single" w:sz="4" w:space="0" w:color="auto"/>
              <w:left w:val="single" w:sz="4" w:space="0" w:color="auto"/>
              <w:bottom w:val="single" w:sz="8" w:space="0" w:color="auto"/>
              <w:right w:val="single" w:sz="8" w:space="0" w:color="auto"/>
            </w:tcBorders>
          </w:tcPr>
          <w:p w:rsidR="00B864C5" w:rsidRPr="00CA52DD" w:rsidRDefault="00B864C5" w:rsidP="00B864C5">
            <w:pPr>
              <w:autoSpaceDE w:val="0"/>
              <w:autoSpaceDN w:val="0"/>
              <w:jc w:val="center"/>
            </w:pPr>
            <w:r w:rsidRPr="00CA52DD">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B864C5" w:rsidP="00B864C5">
            <w:pPr>
              <w:autoSpaceDE w:val="0"/>
              <w:autoSpaceDN w:val="0"/>
              <w:jc w:val="center"/>
            </w:pPr>
            <w:r w:rsidRPr="00CA52DD">
              <w:t>не требуется</w:t>
            </w:r>
          </w:p>
        </w:tc>
      </w:tr>
      <w:tr w:rsidR="00B864C5" w:rsidRPr="00CA52DD" w:rsidTr="00FD324B">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4C5" w:rsidRPr="00CA52DD" w:rsidRDefault="00B864C5" w:rsidP="00B864C5">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A42F55" w:rsidP="00B864C5">
            <w:pPr>
              <w:jc w:val="both"/>
            </w:pPr>
            <w:proofErr w:type="gramStart"/>
            <w:r w:rsidRPr="00CA52DD">
              <w:t>О внесении изменений в приказ исполняющего обязанности Министра здравоохранения и социального развития Республики Казахстан от 30 июля 2015 года № 639 «Об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 в части совершенствования методики регистрации цены на лекарственные средства и изделий медицинского назначения с учетом расходом производителей на внедрение стандартов GXP</w:t>
            </w:r>
            <w:proofErr w:type="gramEnd"/>
            <w:r w:rsidRPr="00CA52DD">
              <w:t xml:space="preserve"> и с выведением </w:t>
            </w:r>
            <w:r w:rsidRPr="00CA52DD">
              <w:lastRenderedPageBreak/>
              <w:t>методики ценообразования на отечественную продукцию в отдельную категорию</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A42F55" w:rsidP="00B864C5">
            <w:pPr>
              <w:jc w:val="center"/>
            </w:pPr>
            <w:r w:rsidRPr="00CA52DD">
              <w:lastRenderedPageBreak/>
              <w:t>Проект НПА</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B864C5" w:rsidP="00B864C5">
            <w:pPr>
              <w:jc w:val="center"/>
            </w:pPr>
            <w:r w:rsidRPr="00CA52DD">
              <w:t>М</w:t>
            </w:r>
            <w:r w:rsidR="005C1E8E" w:rsidRPr="00CA52DD">
              <w:t>З</w:t>
            </w:r>
            <w:r w:rsidR="00232D38" w:rsidRPr="00CA52DD">
              <w:t>, НПП и отраслевые ассоциации (по согласованию)</w:t>
            </w:r>
          </w:p>
          <w:p w:rsidR="00B864C5" w:rsidRPr="00CA52DD" w:rsidRDefault="00B864C5" w:rsidP="00B864C5">
            <w:pPr>
              <w:jc w:val="center"/>
            </w:pP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864C5" w:rsidRPr="00CA52DD" w:rsidRDefault="00232D38" w:rsidP="00B864C5">
            <w:pPr>
              <w:jc w:val="center"/>
            </w:pPr>
            <w:r w:rsidRPr="00CA52DD">
              <w:t xml:space="preserve">1 квартал </w:t>
            </w:r>
            <w:r w:rsidR="00B864C5" w:rsidRPr="00CA52DD">
              <w:t>2018 г.</w:t>
            </w:r>
          </w:p>
        </w:tc>
        <w:tc>
          <w:tcPr>
            <w:tcW w:w="201"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p>
        </w:tc>
        <w:tc>
          <w:tcPr>
            <w:tcW w:w="20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p>
        </w:tc>
        <w:tc>
          <w:tcPr>
            <w:tcW w:w="25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p>
        </w:tc>
        <w:tc>
          <w:tcPr>
            <w:tcW w:w="252"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pPr>
          </w:p>
        </w:tc>
        <w:tc>
          <w:tcPr>
            <w:tcW w:w="310" w:type="pct"/>
            <w:tcBorders>
              <w:top w:val="single" w:sz="4" w:space="0" w:color="auto"/>
              <w:left w:val="single" w:sz="4" w:space="0" w:color="auto"/>
              <w:bottom w:val="single" w:sz="8" w:space="0" w:color="auto"/>
              <w:right w:val="single" w:sz="8" w:space="0" w:color="auto"/>
            </w:tcBorders>
          </w:tcPr>
          <w:p w:rsidR="00B864C5" w:rsidRPr="00CA52DD" w:rsidRDefault="00B864C5" w:rsidP="00B864C5">
            <w:pPr>
              <w:autoSpaceDE w:val="0"/>
              <w:autoSpaceDN w:val="0"/>
              <w:jc w:val="cente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5C1E8E" w:rsidP="00B864C5">
            <w:pPr>
              <w:autoSpaceDE w:val="0"/>
              <w:autoSpaceDN w:val="0"/>
              <w:jc w:val="center"/>
            </w:pPr>
            <w:r w:rsidRPr="00CA52DD">
              <w:t>не требуется</w:t>
            </w:r>
          </w:p>
        </w:tc>
      </w:tr>
      <w:tr w:rsidR="00B864C5" w:rsidRPr="00CA52DD" w:rsidTr="0088148E">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4C5" w:rsidRPr="00CA52DD" w:rsidRDefault="00B864C5" w:rsidP="00B864C5">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5C1E8E" w:rsidP="00B864C5">
            <w:pPr>
              <w:ind w:right="-51"/>
              <w:jc w:val="both"/>
            </w:pPr>
            <w:r w:rsidRPr="00CA52DD">
              <w:t>Выведение методики ценообразования отечественной фармацевтической продукции в отдельную категорию</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B864C5" w:rsidP="00DF0398">
            <w:pPr>
              <w:jc w:val="center"/>
            </w:pPr>
            <w:r w:rsidRPr="00CA52DD">
              <w:t xml:space="preserve">Информация в </w:t>
            </w:r>
            <w:r w:rsidR="00DF0398" w:rsidRPr="00CA52DD">
              <w:t>МЗ РК</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DF0398" w:rsidP="00B864C5">
            <w:pPr>
              <w:ind w:left="-89" w:right="-58"/>
              <w:jc w:val="center"/>
            </w:pPr>
            <w:r w:rsidRPr="00CA52DD">
              <w:t xml:space="preserve">МЗ </w:t>
            </w:r>
            <w:r w:rsidR="00B864C5" w:rsidRPr="00CA52DD">
              <w:t>(по согласованию)</w:t>
            </w:r>
          </w:p>
          <w:p w:rsidR="00B864C5" w:rsidRPr="00CA52DD" w:rsidRDefault="00B864C5" w:rsidP="00B864C5">
            <w:pPr>
              <w:ind w:left="-89" w:right="-58"/>
              <w:jc w:val="center"/>
            </w:pP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864C5" w:rsidRPr="00CA52DD" w:rsidRDefault="00B864C5" w:rsidP="00B864C5">
            <w:pPr>
              <w:autoSpaceDE w:val="0"/>
              <w:autoSpaceDN w:val="0"/>
              <w:jc w:val="center"/>
              <w:rPr>
                <w:rFonts w:eastAsia="Times New Roman"/>
                <w:color w:val="000000"/>
                <w:lang w:val="kk-KZ" w:eastAsia="ru-RU"/>
              </w:rPr>
            </w:pPr>
            <w:r w:rsidRPr="00CA52DD">
              <w:rPr>
                <w:rFonts w:eastAsia="Times New Roman"/>
                <w:color w:val="000000"/>
                <w:lang w:val="kk-KZ" w:eastAsia="ru-RU"/>
              </w:rPr>
              <w:t>2017 – 2019  гг.</w:t>
            </w:r>
          </w:p>
          <w:p w:rsidR="00B864C5" w:rsidRPr="00CA52DD" w:rsidRDefault="00B864C5" w:rsidP="00B864C5">
            <w:pPr>
              <w:autoSpaceDE w:val="0"/>
              <w:autoSpaceDN w:val="0"/>
              <w:jc w:val="center"/>
              <w:rPr>
                <w:rFonts w:eastAsia="Times New Roman"/>
                <w:color w:val="000000"/>
                <w:lang w:val="kk-KZ" w:eastAsia="ru-RU"/>
              </w:rPr>
            </w:pPr>
          </w:p>
        </w:tc>
        <w:tc>
          <w:tcPr>
            <w:tcW w:w="201"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20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255"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252" w:type="pct"/>
            <w:tcBorders>
              <w:top w:val="single" w:sz="4" w:space="0" w:color="auto"/>
              <w:left w:val="single" w:sz="4" w:space="0" w:color="auto"/>
              <w:bottom w:val="single" w:sz="8" w:space="0" w:color="auto"/>
              <w:right w:val="single" w:sz="4"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310" w:type="pct"/>
            <w:tcBorders>
              <w:top w:val="single" w:sz="4" w:space="0" w:color="auto"/>
              <w:left w:val="single" w:sz="4" w:space="0" w:color="auto"/>
              <w:bottom w:val="single" w:sz="8" w:space="0" w:color="auto"/>
              <w:right w:val="single" w:sz="8" w:space="0" w:color="auto"/>
            </w:tcBorders>
          </w:tcPr>
          <w:p w:rsidR="00B864C5" w:rsidRPr="00CA52DD" w:rsidRDefault="00B864C5" w:rsidP="00B864C5">
            <w:pPr>
              <w:autoSpaceDE w:val="0"/>
              <w:autoSpaceDN w:val="0"/>
              <w:jc w:val="center"/>
              <w:rPr>
                <w:rFonts w:eastAsia="Times New Roman"/>
                <w:color w:val="000000"/>
                <w:lang w:val="kk-KZ" w:eastAsia="ru-RU"/>
              </w:rP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864C5" w:rsidRPr="00CA52DD" w:rsidRDefault="00B864C5" w:rsidP="00B864C5">
            <w:pPr>
              <w:autoSpaceDE w:val="0"/>
              <w:autoSpaceDN w:val="0"/>
              <w:jc w:val="center"/>
              <w:rPr>
                <w:rFonts w:eastAsia="Times New Roman"/>
                <w:color w:val="000000"/>
                <w:lang w:val="kk-KZ" w:eastAsia="ru-RU"/>
              </w:rPr>
            </w:pPr>
            <w:r w:rsidRPr="00CA52DD">
              <w:rPr>
                <w:rFonts w:eastAsia="Times New Roman"/>
                <w:color w:val="000000"/>
                <w:lang w:val="kk-KZ" w:eastAsia="ru-RU"/>
              </w:rPr>
              <w:t>В рамках утвержденных сумм в республиканском бюджете на соответствующие годы</w:t>
            </w:r>
          </w:p>
        </w:tc>
      </w:tr>
      <w:tr w:rsidR="005C1E8E" w:rsidRPr="00CA52DD" w:rsidTr="005C1E8E">
        <w:trPr>
          <w:trHeight w:val="371"/>
          <w:jc w:val="center"/>
        </w:trPr>
        <w:tc>
          <w:tcPr>
            <w:tcW w:w="5000" w:type="pct"/>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1E8E" w:rsidRPr="00CA52DD" w:rsidRDefault="005C1E8E" w:rsidP="00B864C5">
            <w:pPr>
              <w:jc w:val="center"/>
              <w:rPr>
                <w:b/>
              </w:rPr>
            </w:pPr>
            <w:r w:rsidRPr="00CA52DD">
              <w:rPr>
                <w:b/>
              </w:rPr>
              <w:t>Внедрение стандарта GMP</w:t>
            </w:r>
          </w:p>
        </w:tc>
      </w:tr>
      <w:tr w:rsidR="00B864C5" w:rsidRPr="00CA52DD" w:rsidTr="004B6284">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864C5" w:rsidRPr="00CA52DD" w:rsidRDefault="00B864C5" w:rsidP="00B864C5">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4C5" w:rsidRPr="00CA52DD" w:rsidRDefault="00232D38" w:rsidP="00814A7D">
            <w:pPr>
              <w:autoSpaceDE w:val="0"/>
              <w:autoSpaceDN w:val="0"/>
              <w:jc w:val="both"/>
              <w:rPr>
                <w:rFonts w:eastAsia="Times New Roman"/>
                <w:bCs/>
              </w:rPr>
            </w:pPr>
            <w:proofErr w:type="gramStart"/>
            <w:r w:rsidRPr="00CA52DD">
              <w:rPr>
                <w:rFonts w:eastAsia="Times New Roman"/>
                <w:bCs/>
              </w:rPr>
              <w:t xml:space="preserve">Внесение изменений в Закон Республики Казахстан от 6 апреля 2015 года № 299-V «О внесении изменений и дополнений в некоторые законодательные акты Республики Казахстан по вопросам здравоохранения» в части введения в действие 1) абзаца четвертого подпункта 41), абзаца третьего подпункта 42) и абзаца третьего подпункта 50) пункта 2 статьи 1 с 1 января 2025 года в рамках </w:t>
            </w:r>
            <w:r w:rsidRPr="00CA52DD">
              <w:rPr>
                <w:rFonts w:eastAsia="Times New Roman"/>
                <w:bCs/>
              </w:rPr>
              <w:lastRenderedPageBreak/>
              <w:t>гармонизации с актами ЕАЭС»</w:t>
            </w:r>
            <w:proofErr w:type="gramEnd"/>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4C5" w:rsidRPr="00CA52DD" w:rsidRDefault="00232D38" w:rsidP="00B864C5">
            <w:pPr>
              <w:autoSpaceDE w:val="0"/>
              <w:autoSpaceDN w:val="0"/>
              <w:jc w:val="center"/>
              <w:rPr>
                <w:rFonts w:eastAsia="Times New Roman"/>
                <w:b/>
                <w:bCs/>
              </w:rPr>
            </w:pPr>
            <w:r w:rsidRPr="00CA52DD">
              <w:lastRenderedPageBreak/>
              <w:t>Законопроект</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4C5" w:rsidRPr="00CA52DD" w:rsidRDefault="00232D38" w:rsidP="00B864C5">
            <w:pPr>
              <w:autoSpaceDE w:val="0"/>
              <w:autoSpaceDN w:val="0"/>
              <w:jc w:val="center"/>
              <w:rPr>
                <w:rFonts w:eastAsia="Times New Roman"/>
                <w:bCs/>
              </w:rPr>
            </w:pPr>
            <w:r w:rsidRPr="00CA52DD">
              <w:rPr>
                <w:rFonts w:eastAsia="Times New Roman"/>
                <w:bCs/>
              </w:rPr>
              <w:t>МЗ, МИР, МНЭ, НПП и отраслевые ассоциации (по согласованию)</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B864C5" w:rsidRPr="00CA52DD" w:rsidRDefault="00232D38" w:rsidP="00B864C5">
            <w:pPr>
              <w:autoSpaceDE w:val="0"/>
              <w:autoSpaceDN w:val="0"/>
              <w:jc w:val="center"/>
              <w:rPr>
                <w:rFonts w:eastAsia="Times New Roman"/>
                <w:bCs/>
              </w:rPr>
            </w:pPr>
            <w:r w:rsidRPr="00CA52DD">
              <w:rPr>
                <w:rFonts w:eastAsia="Times New Roman"/>
                <w:bCs/>
              </w:rPr>
              <w:t xml:space="preserve">январь </w:t>
            </w:r>
            <w:r w:rsidR="00814A7D" w:rsidRPr="00CA52DD">
              <w:rPr>
                <w:rFonts w:eastAsia="Times New Roman"/>
                <w:bCs/>
              </w:rPr>
              <w:t>2018 г.</w:t>
            </w:r>
          </w:p>
        </w:tc>
        <w:tc>
          <w:tcPr>
            <w:tcW w:w="201" w:type="pct"/>
            <w:tcBorders>
              <w:top w:val="single" w:sz="4" w:space="0" w:color="auto"/>
              <w:left w:val="single" w:sz="4" w:space="0" w:color="auto"/>
              <w:bottom w:val="single" w:sz="8" w:space="0" w:color="auto"/>
              <w:right w:val="single" w:sz="4" w:space="0" w:color="auto"/>
            </w:tcBorders>
            <w:vAlign w:val="center"/>
          </w:tcPr>
          <w:p w:rsidR="00B864C5" w:rsidRPr="00CA52DD" w:rsidRDefault="00B864C5" w:rsidP="00B864C5">
            <w:pPr>
              <w:autoSpaceDE w:val="0"/>
              <w:autoSpaceDN w:val="0"/>
              <w:jc w:val="center"/>
              <w:rPr>
                <w:rFonts w:eastAsia="Times New Roman"/>
                <w:b/>
                <w:bCs/>
              </w:rPr>
            </w:pPr>
          </w:p>
        </w:tc>
        <w:tc>
          <w:tcPr>
            <w:tcW w:w="205" w:type="pct"/>
            <w:tcBorders>
              <w:top w:val="single" w:sz="4" w:space="0" w:color="auto"/>
              <w:left w:val="single" w:sz="4" w:space="0" w:color="auto"/>
              <w:bottom w:val="single" w:sz="8" w:space="0" w:color="auto"/>
              <w:right w:val="single" w:sz="4" w:space="0" w:color="auto"/>
            </w:tcBorders>
            <w:vAlign w:val="center"/>
          </w:tcPr>
          <w:p w:rsidR="00B864C5" w:rsidRPr="00CA52DD" w:rsidRDefault="00B864C5" w:rsidP="00B864C5">
            <w:pPr>
              <w:autoSpaceDE w:val="0"/>
              <w:autoSpaceDN w:val="0"/>
              <w:jc w:val="center"/>
              <w:rPr>
                <w:rFonts w:eastAsia="Times New Roman"/>
                <w:b/>
                <w:bCs/>
              </w:rPr>
            </w:pPr>
          </w:p>
        </w:tc>
        <w:tc>
          <w:tcPr>
            <w:tcW w:w="255" w:type="pct"/>
            <w:tcBorders>
              <w:top w:val="single" w:sz="4" w:space="0" w:color="auto"/>
              <w:left w:val="single" w:sz="4" w:space="0" w:color="auto"/>
              <w:bottom w:val="single" w:sz="8" w:space="0" w:color="auto"/>
              <w:right w:val="single" w:sz="4" w:space="0" w:color="auto"/>
            </w:tcBorders>
            <w:vAlign w:val="center"/>
          </w:tcPr>
          <w:p w:rsidR="00B864C5" w:rsidRPr="00CA52DD" w:rsidRDefault="00B864C5" w:rsidP="00B864C5">
            <w:pPr>
              <w:autoSpaceDE w:val="0"/>
              <w:autoSpaceDN w:val="0"/>
              <w:jc w:val="center"/>
              <w:rPr>
                <w:rFonts w:eastAsia="Times New Roman"/>
                <w:b/>
                <w:bCs/>
              </w:rPr>
            </w:pPr>
          </w:p>
        </w:tc>
        <w:tc>
          <w:tcPr>
            <w:tcW w:w="252" w:type="pct"/>
            <w:tcBorders>
              <w:top w:val="single" w:sz="4" w:space="0" w:color="auto"/>
              <w:left w:val="single" w:sz="4" w:space="0" w:color="auto"/>
              <w:bottom w:val="single" w:sz="8" w:space="0" w:color="auto"/>
              <w:right w:val="single" w:sz="4" w:space="0" w:color="auto"/>
            </w:tcBorders>
            <w:vAlign w:val="center"/>
          </w:tcPr>
          <w:p w:rsidR="00B864C5" w:rsidRPr="00CA52DD" w:rsidRDefault="00B864C5" w:rsidP="00B864C5">
            <w:pPr>
              <w:autoSpaceDE w:val="0"/>
              <w:autoSpaceDN w:val="0"/>
              <w:jc w:val="center"/>
              <w:rPr>
                <w:rFonts w:eastAsia="Times New Roman"/>
                <w:b/>
                <w:bCs/>
              </w:rPr>
            </w:pPr>
          </w:p>
        </w:tc>
        <w:tc>
          <w:tcPr>
            <w:tcW w:w="310" w:type="pct"/>
            <w:tcBorders>
              <w:top w:val="single" w:sz="4" w:space="0" w:color="auto"/>
              <w:left w:val="single" w:sz="4" w:space="0" w:color="auto"/>
              <w:bottom w:val="single" w:sz="8" w:space="0" w:color="auto"/>
              <w:right w:val="single" w:sz="8" w:space="0" w:color="auto"/>
            </w:tcBorders>
            <w:vAlign w:val="center"/>
          </w:tcPr>
          <w:p w:rsidR="00B864C5" w:rsidRPr="00CA52DD" w:rsidRDefault="00B864C5" w:rsidP="00B864C5">
            <w:pPr>
              <w:autoSpaceDE w:val="0"/>
              <w:autoSpaceDN w:val="0"/>
              <w:jc w:val="center"/>
              <w:rPr>
                <w:rFonts w:eastAsia="Times New Roman"/>
                <w:b/>
                <w:bCs/>
              </w:rP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64C5" w:rsidRPr="00CA52DD" w:rsidRDefault="00814A7D" w:rsidP="00B864C5">
            <w:pPr>
              <w:autoSpaceDE w:val="0"/>
              <w:autoSpaceDN w:val="0"/>
              <w:jc w:val="center"/>
              <w:rPr>
                <w:rFonts w:eastAsia="Times New Roman"/>
                <w:b/>
                <w:bCs/>
              </w:rPr>
            </w:pPr>
            <w:r w:rsidRPr="00CA52DD">
              <w:t>Не требуется</w:t>
            </w:r>
          </w:p>
        </w:tc>
      </w:tr>
      <w:tr w:rsidR="00ED0D1D" w:rsidRPr="00CA52DD" w:rsidTr="004B6284">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5C1E8E" w:rsidP="00DF0398">
            <w:pPr>
              <w:autoSpaceDE w:val="0"/>
              <w:autoSpaceDN w:val="0"/>
              <w:jc w:val="both"/>
              <w:rPr>
                <w:rFonts w:eastAsia="Times New Roman"/>
                <w:bCs/>
              </w:rPr>
            </w:pPr>
            <w:r w:rsidRPr="00CA52DD">
              <w:rPr>
                <w:rFonts w:eastAsia="Times New Roman"/>
                <w:bCs/>
              </w:rPr>
              <w:t xml:space="preserve">Поддержать создание обучающих центров по GXP стандартам с </w:t>
            </w:r>
            <w:r w:rsidR="00DF0398" w:rsidRPr="00CA52DD">
              <w:rPr>
                <w:rFonts w:eastAsia="Times New Roman"/>
                <w:bCs/>
              </w:rPr>
              <w:t>привлечением</w:t>
            </w:r>
            <w:r w:rsidRPr="00CA52DD">
              <w:rPr>
                <w:rFonts w:eastAsia="Times New Roman"/>
                <w:bCs/>
              </w:rPr>
              <w:t xml:space="preserve"> представителей государственных организаций</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r w:rsidRPr="00CA52DD">
              <w:t>Предложения в Правительство</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DF0398" w:rsidP="00ED0D1D">
            <w:pPr>
              <w:autoSpaceDE w:val="0"/>
              <w:autoSpaceDN w:val="0"/>
              <w:jc w:val="center"/>
              <w:rPr>
                <w:rFonts w:eastAsia="Times New Roman"/>
                <w:bCs/>
              </w:rPr>
            </w:pPr>
            <w:r w:rsidRPr="00CA52DD">
              <w:rPr>
                <w:rFonts w:eastAsia="Times New Roman"/>
                <w:bCs/>
              </w:rPr>
              <w:t>МЗ</w:t>
            </w:r>
            <w:r w:rsidR="00ED0D1D" w:rsidRPr="00CA52DD">
              <w:rPr>
                <w:rFonts w:eastAsia="Times New Roman"/>
                <w:bCs/>
              </w:rPr>
              <w:t xml:space="preserve">, </w:t>
            </w:r>
            <w:r w:rsidRPr="00CA52DD">
              <w:rPr>
                <w:rFonts w:eastAsia="Times New Roman"/>
                <w:bCs/>
              </w:rPr>
              <w:t xml:space="preserve">МИР, </w:t>
            </w:r>
            <w:r w:rsidR="00ED0D1D" w:rsidRPr="00CA52DD">
              <w:rPr>
                <w:rFonts w:eastAsia="Times New Roman"/>
                <w:bCs/>
              </w:rPr>
              <w:t xml:space="preserve">НПП, </w:t>
            </w:r>
            <w:r w:rsidR="00232D38" w:rsidRPr="00CA52DD">
              <w:rPr>
                <w:rFonts w:eastAsia="Times New Roman"/>
                <w:bCs/>
              </w:rPr>
              <w:t>отраслевые ассоциации (по согласованию)</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Cs/>
              </w:rPr>
            </w:pPr>
            <w:r w:rsidRPr="00CA52DD">
              <w:rPr>
                <w:rFonts w:eastAsia="Times New Roman"/>
                <w:bCs/>
              </w:rPr>
              <w:t>2018 г.</w:t>
            </w:r>
          </w:p>
        </w:tc>
        <w:tc>
          <w:tcPr>
            <w:tcW w:w="201"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205"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255"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252"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310" w:type="pct"/>
            <w:tcBorders>
              <w:top w:val="single" w:sz="4" w:space="0" w:color="auto"/>
              <w:left w:val="single" w:sz="4" w:space="0" w:color="auto"/>
              <w:bottom w:val="single" w:sz="8" w:space="0" w:color="auto"/>
              <w:right w:val="single" w:sz="8" w:space="0" w:color="auto"/>
            </w:tcBorders>
            <w:vAlign w:val="center"/>
          </w:tcPr>
          <w:p w:rsidR="00ED0D1D" w:rsidRPr="00CA52DD" w:rsidRDefault="00ED0D1D" w:rsidP="00ED0D1D">
            <w:pPr>
              <w:autoSpaceDE w:val="0"/>
              <w:autoSpaceDN w:val="0"/>
              <w:jc w:val="center"/>
              <w:rPr>
                <w:rFonts w:eastAsia="Times New Roman"/>
                <w:b/>
                <w:bCs/>
              </w:rP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r w:rsidRPr="00CA52DD">
              <w:t>Не требуется</w:t>
            </w:r>
          </w:p>
        </w:tc>
      </w:tr>
      <w:tr w:rsidR="00ED0D1D" w:rsidRPr="00CA52DD" w:rsidTr="004B6284">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5C1E8E" w:rsidP="00ED0D1D">
            <w:pPr>
              <w:autoSpaceDE w:val="0"/>
              <w:autoSpaceDN w:val="0"/>
              <w:jc w:val="center"/>
              <w:rPr>
                <w:rFonts w:eastAsia="Times New Roman"/>
                <w:b/>
                <w:bCs/>
              </w:rPr>
            </w:pPr>
            <w:r w:rsidRPr="00CA52DD">
              <w:rPr>
                <w:lang w:val="kk-KZ"/>
              </w:rPr>
              <w:t>Предусмотреть выделение финансовых средств и субсидий для малого и среднего бизнеса</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DF0398" w:rsidP="00ED0D1D">
            <w:pPr>
              <w:autoSpaceDE w:val="0"/>
              <w:autoSpaceDN w:val="0"/>
              <w:jc w:val="center"/>
              <w:rPr>
                <w:rFonts w:eastAsia="Times New Roman"/>
                <w:b/>
                <w:bCs/>
              </w:rPr>
            </w:pPr>
            <w:r w:rsidRPr="00CA52DD">
              <w:t>Предложения в Правительство</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DF0398" w:rsidP="00ED0D1D">
            <w:pPr>
              <w:autoSpaceDE w:val="0"/>
              <w:autoSpaceDN w:val="0"/>
              <w:jc w:val="center"/>
              <w:rPr>
                <w:rFonts w:eastAsia="Times New Roman"/>
                <w:b/>
                <w:bCs/>
              </w:rPr>
            </w:pPr>
            <w:r w:rsidRPr="00CA52DD">
              <w:rPr>
                <w:rFonts w:eastAsia="Times New Roman"/>
                <w:bCs/>
              </w:rPr>
              <w:t xml:space="preserve">МИР, МЗ, НПП, </w:t>
            </w:r>
            <w:r w:rsidR="00232D38" w:rsidRPr="00CA52DD">
              <w:rPr>
                <w:rFonts w:eastAsia="Times New Roman"/>
                <w:bCs/>
              </w:rPr>
              <w:t>отраслевые ассоциации (по согласованию)</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201"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205"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255"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252" w:type="pct"/>
            <w:tcBorders>
              <w:top w:val="single" w:sz="4" w:space="0" w:color="auto"/>
              <w:left w:val="single" w:sz="4" w:space="0" w:color="auto"/>
              <w:bottom w:val="single" w:sz="8" w:space="0" w:color="auto"/>
              <w:right w:val="single" w:sz="4" w:space="0" w:color="auto"/>
            </w:tcBorders>
            <w:vAlign w:val="center"/>
          </w:tcPr>
          <w:p w:rsidR="00ED0D1D" w:rsidRPr="00CA52DD" w:rsidRDefault="00ED0D1D" w:rsidP="00ED0D1D">
            <w:pPr>
              <w:autoSpaceDE w:val="0"/>
              <w:autoSpaceDN w:val="0"/>
              <w:jc w:val="center"/>
              <w:rPr>
                <w:rFonts w:eastAsia="Times New Roman"/>
                <w:b/>
                <w:bCs/>
              </w:rPr>
            </w:pPr>
          </w:p>
        </w:tc>
        <w:tc>
          <w:tcPr>
            <w:tcW w:w="310" w:type="pct"/>
            <w:tcBorders>
              <w:top w:val="single" w:sz="4" w:space="0" w:color="auto"/>
              <w:left w:val="single" w:sz="4" w:space="0" w:color="auto"/>
              <w:bottom w:val="single" w:sz="8" w:space="0" w:color="auto"/>
              <w:right w:val="single" w:sz="8" w:space="0" w:color="auto"/>
            </w:tcBorders>
            <w:vAlign w:val="center"/>
          </w:tcPr>
          <w:p w:rsidR="00ED0D1D" w:rsidRPr="00CA52DD" w:rsidRDefault="00ED0D1D" w:rsidP="00ED0D1D">
            <w:pPr>
              <w:autoSpaceDE w:val="0"/>
              <w:autoSpaceDN w:val="0"/>
              <w:jc w:val="center"/>
              <w:rPr>
                <w:rFonts w:eastAsia="Times New Roman"/>
                <w:b/>
                <w:bCs/>
              </w:rP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D0D1D" w:rsidRPr="00CA52DD" w:rsidRDefault="00DF0398" w:rsidP="00DF0398">
            <w:pPr>
              <w:autoSpaceDE w:val="0"/>
              <w:autoSpaceDN w:val="0"/>
              <w:jc w:val="both"/>
              <w:rPr>
                <w:rFonts w:eastAsia="Times New Roman"/>
                <w:b/>
                <w:bCs/>
              </w:rPr>
            </w:pPr>
            <w:r w:rsidRPr="00CA52DD">
              <w:rPr>
                <w:rFonts w:eastAsia="Times New Roman"/>
                <w:color w:val="000000"/>
                <w:lang w:val="kk-KZ" w:eastAsia="ru-RU"/>
              </w:rPr>
              <w:t>В рамках утвержденных сумм в республиканском бюджете на соответствующие годы</w:t>
            </w:r>
          </w:p>
        </w:tc>
      </w:tr>
      <w:tr w:rsidR="00ED0D1D" w:rsidRPr="00CA52DD" w:rsidTr="004B6284">
        <w:trPr>
          <w:trHeight w:val="371"/>
          <w:jc w:val="center"/>
        </w:trPr>
        <w:tc>
          <w:tcPr>
            <w:tcW w:w="5000" w:type="pct"/>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5C1E8E" w:rsidP="00ED0D1D">
            <w:pPr>
              <w:autoSpaceDE w:val="0"/>
              <w:autoSpaceDN w:val="0"/>
              <w:jc w:val="center"/>
              <w:rPr>
                <w:rFonts w:eastAsia="Times New Roman"/>
                <w:b/>
                <w:bCs/>
              </w:rPr>
            </w:pPr>
            <w:r w:rsidRPr="00CA52DD">
              <w:rPr>
                <w:rFonts w:eastAsia="Times New Roman"/>
                <w:b/>
                <w:bCs/>
              </w:rPr>
              <w:t>Внедрение маркировки лекарственных средств и изделий медицинского назначения</w:t>
            </w:r>
          </w:p>
        </w:tc>
      </w:tr>
      <w:tr w:rsidR="00ED0D1D" w:rsidRPr="00CA52DD" w:rsidTr="003A3DE4">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5C1E8E" w:rsidP="00ED0D1D">
            <w:pPr>
              <w:pStyle w:val="af"/>
              <w:jc w:val="left"/>
              <w:rPr>
                <w:rFonts w:ascii="Times New Roman" w:eastAsiaTheme="minorHAnsi" w:hAnsi="Times New Roman"/>
                <w:sz w:val="28"/>
                <w:szCs w:val="28"/>
              </w:rPr>
            </w:pPr>
            <w:r w:rsidRPr="00CA52DD">
              <w:rPr>
                <w:rFonts w:ascii="Times New Roman" w:eastAsiaTheme="minorHAnsi" w:hAnsi="Times New Roman"/>
                <w:sz w:val="28"/>
                <w:szCs w:val="28"/>
              </w:rPr>
              <w:t>Провести анализ готовности рынка РК, системы здравоохранения и другие</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ED0D1D" w:rsidP="00ED0D1D">
            <w:pPr>
              <w:autoSpaceDE w:val="0"/>
              <w:autoSpaceDN w:val="0"/>
              <w:jc w:val="center"/>
            </w:pPr>
            <w:r w:rsidRPr="00CA52DD">
              <w:t>Предложения в Правительство РК</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ED0D1D" w:rsidP="00DF0398">
            <w:pPr>
              <w:autoSpaceDE w:val="0"/>
              <w:autoSpaceDN w:val="0"/>
              <w:jc w:val="center"/>
            </w:pPr>
            <w:r w:rsidRPr="00CA52DD">
              <w:t>М</w:t>
            </w:r>
            <w:r w:rsidR="00DF0398" w:rsidRPr="00CA52DD">
              <w:t>З</w:t>
            </w:r>
            <w:r w:rsidRPr="00CA52DD">
              <w:t xml:space="preserve">, </w:t>
            </w:r>
            <w:r w:rsidRPr="00CA52DD">
              <w:rPr>
                <w:rFonts w:eastAsia="Times New Roman"/>
                <w:lang w:val="kk-KZ" w:eastAsia="ru-RU"/>
              </w:rPr>
              <w:t xml:space="preserve">НПП </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ED0D1D" w:rsidRPr="00CA52DD" w:rsidRDefault="00ED0D1D" w:rsidP="00ED0D1D">
            <w:pPr>
              <w:autoSpaceDE w:val="0"/>
              <w:autoSpaceDN w:val="0"/>
              <w:jc w:val="center"/>
            </w:pPr>
            <w:r w:rsidRPr="00CA52DD">
              <w:t>2018 г.</w:t>
            </w:r>
          </w:p>
        </w:tc>
        <w:tc>
          <w:tcPr>
            <w:tcW w:w="201"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20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25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252"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310" w:type="pct"/>
            <w:tcBorders>
              <w:top w:val="single" w:sz="4" w:space="0" w:color="auto"/>
              <w:left w:val="single" w:sz="4" w:space="0" w:color="auto"/>
              <w:bottom w:val="single" w:sz="8" w:space="0" w:color="auto"/>
              <w:right w:val="single" w:sz="8" w:space="0" w:color="auto"/>
            </w:tcBorders>
          </w:tcPr>
          <w:p w:rsidR="00ED0D1D" w:rsidRPr="00CA52DD" w:rsidRDefault="00ED0D1D" w:rsidP="00ED0D1D">
            <w:pPr>
              <w:autoSpaceDE w:val="0"/>
              <w:autoSpaceDN w:val="0"/>
              <w:jc w:val="cente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ED0D1D" w:rsidP="00ED0D1D">
            <w:pPr>
              <w:autoSpaceDE w:val="0"/>
              <w:autoSpaceDN w:val="0"/>
              <w:jc w:val="center"/>
            </w:pPr>
            <w:r w:rsidRPr="00CA52DD">
              <w:t>Не требуется</w:t>
            </w:r>
          </w:p>
        </w:tc>
      </w:tr>
      <w:tr w:rsidR="00ED0D1D" w:rsidRPr="00CA52DD" w:rsidTr="003530C2">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5C1E8E" w:rsidP="00ED0D1D">
            <w:pPr>
              <w:jc w:val="both"/>
            </w:pPr>
            <w:r w:rsidRPr="00CA52DD">
              <w:t>Предусмотреть льготные кредиты и субсидии для приобретения оборудования</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DF0398" w:rsidP="00ED0D1D">
            <w:pPr>
              <w:jc w:val="center"/>
            </w:pPr>
            <w:r w:rsidRPr="00CA52DD">
              <w:t>Предложения в Правительство РК</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DF0398" w:rsidP="00ED0D1D">
            <w:pPr>
              <w:ind w:right="-49"/>
              <w:jc w:val="center"/>
            </w:pPr>
            <w:r w:rsidRPr="00CA52DD">
              <w:t>МЗ</w:t>
            </w:r>
            <w:proofErr w:type="gramStart"/>
            <w:r w:rsidRPr="00CA52DD">
              <w:t>,М</w:t>
            </w:r>
            <w:proofErr w:type="gramEnd"/>
            <w:r w:rsidRPr="00CA52DD">
              <w:t>ИР, НПП</w:t>
            </w:r>
            <w:r w:rsidR="00ED0D1D" w:rsidRPr="00CA52DD">
              <w:t xml:space="preserve"> </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ED0D1D" w:rsidRPr="00CA52DD" w:rsidRDefault="00ED0D1D" w:rsidP="00ED0D1D">
            <w:pPr>
              <w:jc w:val="center"/>
              <w:rPr>
                <w:rFonts w:eastAsia="Times New Roman"/>
                <w:color w:val="000000"/>
                <w:lang w:val="kk-KZ" w:eastAsia="ru-RU"/>
              </w:rPr>
            </w:pPr>
            <w:r w:rsidRPr="00CA52DD">
              <w:rPr>
                <w:rFonts w:eastAsia="Times New Roman"/>
                <w:color w:val="000000"/>
                <w:lang w:val="kk-KZ" w:eastAsia="ru-RU"/>
              </w:rPr>
              <w:t>2017 – 2019  гг.</w:t>
            </w:r>
          </w:p>
        </w:tc>
        <w:tc>
          <w:tcPr>
            <w:tcW w:w="201"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r w:rsidRPr="00CA52DD">
              <w:rPr>
                <w:rFonts w:eastAsia="Times New Roman"/>
                <w:color w:val="000000"/>
                <w:lang w:val="kk-KZ" w:eastAsia="ru-RU"/>
              </w:rPr>
              <w:t>-</w:t>
            </w:r>
          </w:p>
        </w:tc>
        <w:tc>
          <w:tcPr>
            <w:tcW w:w="20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r w:rsidRPr="00CA52DD">
              <w:rPr>
                <w:rFonts w:eastAsia="Times New Roman"/>
                <w:color w:val="000000"/>
                <w:lang w:val="kk-KZ" w:eastAsia="ru-RU"/>
              </w:rPr>
              <w:t>-</w:t>
            </w:r>
          </w:p>
        </w:tc>
        <w:tc>
          <w:tcPr>
            <w:tcW w:w="25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r w:rsidRPr="00CA52DD">
              <w:rPr>
                <w:rFonts w:eastAsia="Times New Roman"/>
                <w:color w:val="000000"/>
                <w:lang w:val="kk-KZ" w:eastAsia="ru-RU"/>
              </w:rPr>
              <w:t>-</w:t>
            </w:r>
          </w:p>
        </w:tc>
        <w:tc>
          <w:tcPr>
            <w:tcW w:w="252"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r w:rsidRPr="00CA52DD">
              <w:rPr>
                <w:rFonts w:eastAsia="Times New Roman"/>
                <w:color w:val="000000"/>
                <w:lang w:val="kk-KZ" w:eastAsia="ru-RU"/>
              </w:rPr>
              <w:t>-</w:t>
            </w:r>
          </w:p>
        </w:tc>
        <w:tc>
          <w:tcPr>
            <w:tcW w:w="310" w:type="pct"/>
            <w:tcBorders>
              <w:top w:val="single" w:sz="4" w:space="0" w:color="auto"/>
              <w:left w:val="single" w:sz="4" w:space="0" w:color="auto"/>
              <w:bottom w:val="single" w:sz="8" w:space="0" w:color="auto"/>
              <w:right w:val="single" w:sz="8" w:space="0" w:color="auto"/>
            </w:tcBorders>
          </w:tcPr>
          <w:p w:rsidR="00ED0D1D" w:rsidRPr="00CA52DD" w:rsidRDefault="00ED0D1D" w:rsidP="00ED0D1D">
            <w:pPr>
              <w:jc w:val="center"/>
              <w:rPr>
                <w:rFonts w:eastAsia="Times New Roman"/>
                <w:color w:val="000000"/>
                <w:lang w:val="kk-KZ" w:eastAsia="ru-RU"/>
              </w:rPr>
            </w:pPr>
            <w:r w:rsidRPr="00CA52DD">
              <w:rPr>
                <w:rFonts w:eastAsia="Times New Roman"/>
                <w:color w:val="000000"/>
                <w:lang w:val="kk-KZ" w:eastAsia="ru-RU"/>
              </w:rPr>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DF0398" w:rsidP="00ED0D1D">
            <w:pPr>
              <w:jc w:val="center"/>
              <w:rPr>
                <w:rFonts w:eastAsia="Times New Roman"/>
                <w:color w:val="000000"/>
                <w:lang w:val="kk-KZ" w:eastAsia="ru-RU"/>
              </w:rPr>
            </w:pPr>
            <w:r w:rsidRPr="00CA52DD">
              <w:rPr>
                <w:rFonts w:eastAsia="Times New Roman"/>
                <w:color w:val="000000"/>
                <w:lang w:val="kk-KZ" w:eastAsia="ru-RU"/>
              </w:rPr>
              <w:t>В рамках утвержденных сумм в республиканском бюджете на соответствующие годы</w:t>
            </w:r>
          </w:p>
        </w:tc>
      </w:tr>
      <w:tr w:rsidR="00ED0D1D" w:rsidRPr="00CA52DD" w:rsidTr="003530C2">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5C1E8E" w:rsidP="00ED0D1D">
            <w:pPr>
              <w:jc w:val="both"/>
            </w:pPr>
            <w:r w:rsidRPr="00CA52DD">
              <w:t>Провести пилотный проект на основе проекта РФ</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ED0D1D" w:rsidP="00ED0D1D">
            <w:pPr>
              <w:jc w:val="center"/>
            </w:pPr>
            <w:r w:rsidRPr="00CA52DD">
              <w:t>Предложения в Правительство РК</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DF0398" w:rsidP="00B57AF5">
            <w:pPr>
              <w:ind w:right="-49"/>
              <w:jc w:val="center"/>
            </w:pPr>
            <w:r w:rsidRPr="00CA52DD">
              <w:t>МЗ,</w:t>
            </w:r>
            <w:r w:rsidR="00B57AF5" w:rsidRPr="00CA52DD">
              <w:t xml:space="preserve"> НПП</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ED0D1D" w:rsidRPr="00CA52DD" w:rsidRDefault="00B57AF5" w:rsidP="00ED0D1D">
            <w:pPr>
              <w:jc w:val="center"/>
              <w:rPr>
                <w:rFonts w:eastAsia="Times New Roman"/>
                <w:color w:val="000000"/>
                <w:lang w:eastAsia="ru-RU"/>
              </w:rPr>
            </w:pPr>
            <w:r w:rsidRPr="00CA52DD">
              <w:rPr>
                <w:rFonts w:eastAsia="Times New Roman"/>
                <w:color w:val="000000"/>
                <w:lang w:eastAsia="ru-RU"/>
              </w:rPr>
              <w:t>2018 г.</w:t>
            </w:r>
          </w:p>
        </w:tc>
        <w:tc>
          <w:tcPr>
            <w:tcW w:w="201"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p>
        </w:tc>
        <w:tc>
          <w:tcPr>
            <w:tcW w:w="20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p>
        </w:tc>
        <w:tc>
          <w:tcPr>
            <w:tcW w:w="25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p>
        </w:tc>
        <w:tc>
          <w:tcPr>
            <w:tcW w:w="252"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jc w:val="center"/>
              <w:rPr>
                <w:rFonts w:eastAsia="Times New Roman"/>
                <w:color w:val="000000"/>
                <w:lang w:val="kk-KZ" w:eastAsia="ru-RU"/>
              </w:rPr>
            </w:pPr>
          </w:p>
        </w:tc>
        <w:tc>
          <w:tcPr>
            <w:tcW w:w="310" w:type="pct"/>
            <w:tcBorders>
              <w:top w:val="single" w:sz="4" w:space="0" w:color="auto"/>
              <w:left w:val="single" w:sz="4" w:space="0" w:color="auto"/>
              <w:bottom w:val="single" w:sz="8" w:space="0" w:color="auto"/>
              <w:right w:val="single" w:sz="8" w:space="0" w:color="auto"/>
            </w:tcBorders>
          </w:tcPr>
          <w:p w:rsidR="00ED0D1D" w:rsidRPr="00CA52DD" w:rsidRDefault="00ED0D1D" w:rsidP="00ED0D1D">
            <w:pPr>
              <w:jc w:val="center"/>
              <w:rPr>
                <w:rFonts w:eastAsia="Times New Roman"/>
                <w:color w:val="000000"/>
                <w:lang w:val="kk-KZ" w:eastAsia="ru-RU"/>
              </w:rP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B57AF5" w:rsidP="00ED0D1D">
            <w:pPr>
              <w:jc w:val="center"/>
              <w:rPr>
                <w:rFonts w:eastAsia="Times New Roman"/>
                <w:color w:val="000000"/>
                <w:lang w:val="kk-KZ" w:eastAsia="ru-RU"/>
              </w:rPr>
            </w:pPr>
            <w:r w:rsidRPr="00CA52DD">
              <w:rPr>
                <w:rFonts w:eastAsia="Times New Roman"/>
                <w:color w:val="000000"/>
                <w:lang w:val="kk-KZ" w:eastAsia="ru-RU"/>
              </w:rPr>
              <w:t>Не требуется</w:t>
            </w:r>
          </w:p>
        </w:tc>
      </w:tr>
      <w:tr w:rsidR="00ED0D1D" w:rsidRPr="00CA52DD" w:rsidTr="004B6284">
        <w:trPr>
          <w:trHeight w:val="371"/>
          <w:jc w:val="center"/>
        </w:trPr>
        <w:tc>
          <w:tcPr>
            <w:tcW w:w="5000" w:type="pct"/>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5C1E8E" w:rsidP="00ED0D1D">
            <w:pPr>
              <w:autoSpaceDE w:val="0"/>
              <w:autoSpaceDN w:val="0"/>
              <w:jc w:val="center"/>
              <w:rPr>
                <w:rFonts w:eastAsia="Times New Roman"/>
                <w:b/>
                <w:bCs/>
              </w:rPr>
            </w:pPr>
            <w:r w:rsidRPr="00CA52DD">
              <w:rPr>
                <w:rFonts w:eastAsia="Times New Roman"/>
                <w:b/>
                <w:bCs/>
              </w:rPr>
              <w:t>Среднесрочные вопросы</w:t>
            </w:r>
          </w:p>
        </w:tc>
      </w:tr>
      <w:tr w:rsidR="005C1E8E" w:rsidRPr="00CA52DD" w:rsidTr="004B6284">
        <w:trPr>
          <w:trHeight w:val="371"/>
          <w:jc w:val="center"/>
        </w:trPr>
        <w:tc>
          <w:tcPr>
            <w:tcW w:w="5000" w:type="pct"/>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C1E8E" w:rsidRPr="00CA52DD" w:rsidRDefault="005C1E8E" w:rsidP="00ED0D1D">
            <w:pPr>
              <w:autoSpaceDE w:val="0"/>
              <w:autoSpaceDN w:val="0"/>
              <w:jc w:val="center"/>
              <w:rPr>
                <w:rFonts w:eastAsia="Times New Roman"/>
                <w:b/>
                <w:bCs/>
              </w:rPr>
            </w:pPr>
            <w:r w:rsidRPr="00CA52DD">
              <w:rPr>
                <w:rFonts w:eastAsia="Times New Roman"/>
                <w:b/>
                <w:bCs/>
              </w:rPr>
              <w:t>Развитие фармацевтической отрасли</w:t>
            </w:r>
          </w:p>
        </w:tc>
      </w:tr>
      <w:tr w:rsidR="00ED0D1D" w:rsidRPr="00CA52DD" w:rsidTr="009E2313">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5C1E8E" w:rsidP="00ED0D1D">
            <w:pPr>
              <w:jc w:val="left"/>
              <w:rPr>
                <w:rFonts w:eastAsia="Times New Roman"/>
                <w:color w:val="000000"/>
                <w:lang w:val="kk-KZ" w:eastAsia="ru-RU"/>
              </w:rPr>
            </w:pPr>
            <w:r w:rsidRPr="00CA52DD">
              <w:rPr>
                <w:rFonts w:eastAsia="Times New Roman"/>
                <w:color w:val="000000"/>
                <w:lang w:val="kk-KZ" w:eastAsia="ru-RU"/>
              </w:rPr>
              <w:t>Разработать «Программу развития фармацевтической промышленности Республики Казахстан до 2025 года»</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232D38" w:rsidP="00ED0D1D">
            <w:pPr>
              <w:jc w:val="center"/>
              <w:rPr>
                <w:rFonts w:eastAsia="Times New Roman"/>
                <w:color w:val="000000"/>
                <w:lang w:val="kk-KZ" w:eastAsia="ru-RU"/>
              </w:rPr>
            </w:pPr>
            <w:r w:rsidRPr="00CA52DD">
              <w:rPr>
                <w:rFonts w:eastAsia="Times New Roman"/>
                <w:color w:val="000000"/>
                <w:lang w:val="kk-KZ" w:eastAsia="ru-RU"/>
              </w:rPr>
              <w:t>Проект НПА</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232D38" w:rsidP="00ED0D1D">
            <w:pPr>
              <w:ind w:left="-89" w:right="-58" w:firstLine="89"/>
              <w:jc w:val="center"/>
              <w:rPr>
                <w:rFonts w:eastAsia="Times New Roman"/>
                <w:color w:val="000000"/>
                <w:lang w:val="kk-KZ" w:eastAsia="ru-RU"/>
              </w:rPr>
            </w:pPr>
            <w:r w:rsidRPr="00CA52DD">
              <w:rPr>
                <w:rFonts w:eastAsia="Times New Roman"/>
                <w:color w:val="000000"/>
                <w:lang w:val="kk-KZ" w:eastAsia="ru-RU"/>
              </w:rPr>
              <w:t>МЗ, МИР, МНЭ, МФ, НПП и отраслевые ассоциации (по согласованию)</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ED0D1D" w:rsidRPr="00CA52DD" w:rsidRDefault="00ED0D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2018 г.</w:t>
            </w:r>
          </w:p>
        </w:tc>
        <w:tc>
          <w:tcPr>
            <w:tcW w:w="201"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w:t>
            </w:r>
          </w:p>
        </w:tc>
        <w:tc>
          <w:tcPr>
            <w:tcW w:w="20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w:t>
            </w:r>
          </w:p>
        </w:tc>
        <w:tc>
          <w:tcPr>
            <w:tcW w:w="25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w:t>
            </w:r>
          </w:p>
        </w:tc>
        <w:tc>
          <w:tcPr>
            <w:tcW w:w="252"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w:t>
            </w:r>
          </w:p>
        </w:tc>
        <w:tc>
          <w:tcPr>
            <w:tcW w:w="310" w:type="pct"/>
            <w:tcBorders>
              <w:top w:val="single" w:sz="4" w:space="0" w:color="auto"/>
              <w:left w:val="single" w:sz="4" w:space="0" w:color="auto"/>
              <w:bottom w:val="single" w:sz="8" w:space="0" w:color="auto"/>
              <w:right w:val="single" w:sz="8" w:space="0" w:color="auto"/>
            </w:tcBorders>
          </w:tcPr>
          <w:p w:rsidR="00ED0D1D" w:rsidRPr="00CA52DD" w:rsidRDefault="00ED0D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w:t>
            </w: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ED0D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не требуется</w:t>
            </w:r>
          </w:p>
        </w:tc>
      </w:tr>
      <w:tr w:rsidR="00ED0D1D" w:rsidRPr="00CA52DD" w:rsidTr="00FA35FD">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D0D1D" w:rsidRPr="00CA52DD" w:rsidRDefault="00ED0D1D"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5C1E8E" w:rsidP="00ED0D1D">
            <w:pPr>
              <w:jc w:val="both"/>
            </w:pPr>
            <w:r w:rsidRPr="00CA52DD">
              <w:t>Утвердить «Программу развития фармацевтической промышленности Республики Казахстан до 2025 года»</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232D38" w:rsidP="00ED0D1D">
            <w:pPr>
              <w:jc w:val="center"/>
            </w:pPr>
            <w:r w:rsidRPr="00CA52DD">
              <w:t>Нормативный правовой указ Президента РК</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232D38" w:rsidP="00ED0D1D">
            <w:pPr>
              <w:jc w:val="center"/>
            </w:pPr>
            <w:r w:rsidRPr="00CA52DD">
              <w:t>МЗ, МИР, МНЭ, МФ, НПП и отраслевые ассоциации (по согласованию)</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ED0D1D" w:rsidRPr="00CA52DD" w:rsidRDefault="00ED0D1D" w:rsidP="00232D38">
            <w:pPr>
              <w:jc w:val="center"/>
            </w:pPr>
            <w:r w:rsidRPr="00CA52DD">
              <w:t>201</w:t>
            </w:r>
            <w:r w:rsidR="00232D38" w:rsidRPr="00CA52DD">
              <w:t>8-2019</w:t>
            </w:r>
            <w:r w:rsidRPr="00CA52DD">
              <w:t xml:space="preserve"> гг.</w:t>
            </w:r>
          </w:p>
        </w:tc>
        <w:tc>
          <w:tcPr>
            <w:tcW w:w="201"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20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255"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252" w:type="pct"/>
            <w:tcBorders>
              <w:top w:val="single" w:sz="4" w:space="0" w:color="auto"/>
              <w:left w:val="single" w:sz="4" w:space="0" w:color="auto"/>
              <w:bottom w:val="single" w:sz="8" w:space="0" w:color="auto"/>
              <w:right w:val="single" w:sz="4" w:space="0" w:color="auto"/>
            </w:tcBorders>
          </w:tcPr>
          <w:p w:rsidR="00ED0D1D" w:rsidRPr="00CA52DD" w:rsidRDefault="00ED0D1D" w:rsidP="00ED0D1D">
            <w:pPr>
              <w:autoSpaceDE w:val="0"/>
              <w:autoSpaceDN w:val="0"/>
              <w:jc w:val="center"/>
            </w:pPr>
          </w:p>
        </w:tc>
        <w:tc>
          <w:tcPr>
            <w:tcW w:w="310" w:type="pct"/>
            <w:tcBorders>
              <w:top w:val="single" w:sz="4" w:space="0" w:color="auto"/>
              <w:left w:val="single" w:sz="4" w:space="0" w:color="auto"/>
              <w:bottom w:val="single" w:sz="8" w:space="0" w:color="auto"/>
              <w:right w:val="single" w:sz="8" w:space="0" w:color="auto"/>
            </w:tcBorders>
          </w:tcPr>
          <w:p w:rsidR="00ED0D1D" w:rsidRPr="00CA52DD" w:rsidRDefault="00ED0D1D" w:rsidP="00ED0D1D">
            <w:pPr>
              <w:autoSpaceDE w:val="0"/>
              <w:autoSpaceDN w:val="0"/>
              <w:jc w:val="cente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D0D1D" w:rsidRPr="00CA52DD" w:rsidRDefault="00ED0D1D" w:rsidP="00ED0D1D">
            <w:pPr>
              <w:autoSpaceDE w:val="0"/>
              <w:autoSpaceDN w:val="0"/>
              <w:jc w:val="center"/>
            </w:pPr>
            <w:r w:rsidRPr="00CA52DD">
              <w:rPr>
                <w:rFonts w:eastAsia="Times New Roman"/>
                <w:color w:val="000000"/>
                <w:lang w:val="kk-KZ" w:eastAsia="ru-RU"/>
              </w:rPr>
              <w:t>Не требуется</w:t>
            </w:r>
          </w:p>
        </w:tc>
      </w:tr>
      <w:tr w:rsidR="00B57AF5" w:rsidRPr="00CA52DD" w:rsidTr="00FA35FD">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7AF5" w:rsidRPr="00CA52DD" w:rsidRDefault="00B57AF5" w:rsidP="00ED0D1D">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57AF5" w:rsidRPr="00CA52DD" w:rsidRDefault="005C1E8E" w:rsidP="00DF0398">
            <w:pPr>
              <w:jc w:val="both"/>
              <w:rPr>
                <w:rFonts w:eastAsia="Times New Roman"/>
              </w:rPr>
            </w:pPr>
            <w:r w:rsidRPr="00CA52DD">
              <w:rPr>
                <w:rFonts w:eastAsia="Times New Roman"/>
              </w:rPr>
              <w:t xml:space="preserve">Закрепить на законодательном уровне  порядок внедрения инновационных производств за счет трансферта технологий с привлечением участия транснациональных </w:t>
            </w:r>
            <w:r w:rsidRPr="00CA52DD">
              <w:rPr>
                <w:rFonts w:eastAsia="Times New Roman"/>
              </w:rPr>
              <w:lastRenderedPageBreak/>
              <w:t>компаний, развития контрактного пр</w:t>
            </w:r>
            <w:r w:rsidR="00DF0398" w:rsidRPr="00CA52DD">
              <w:rPr>
                <w:rFonts w:eastAsia="Times New Roman"/>
              </w:rPr>
              <w:t>оизводства</w:t>
            </w:r>
            <w:r w:rsidRPr="00CA52DD">
              <w:t xml:space="preserve"> </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57AF5" w:rsidRPr="00CA52DD" w:rsidRDefault="00DF0398" w:rsidP="00ED0D1D">
            <w:pPr>
              <w:jc w:val="center"/>
            </w:pPr>
            <w:r w:rsidRPr="00CA52DD">
              <w:rPr>
                <w:rFonts w:eastAsia="Times New Roman"/>
              </w:rPr>
              <w:lastRenderedPageBreak/>
              <w:t>Предложение в Правительство</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57AF5" w:rsidRPr="00CA52DD" w:rsidRDefault="00DF0398" w:rsidP="00ED0D1D">
            <w:pPr>
              <w:jc w:val="center"/>
            </w:pPr>
            <w:r w:rsidRPr="00CA52DD">
              <w:t xml:space="preserve">МЗ, МИР, НПП (по </w:t>
            </w:r>
            <w:proofErr w:type="spellStart"/>
            <w:r w:rsidRPr="00CA52DD">
              <w:t>согл</w:t>
            </w:r>
            <w:proofErr w:type="spellEnd"/>
            <w:r w:rsidRPr="00CA52DD">
              <w:t>.)</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57AF5" w:rsidRPr="00CA52DD" w:rsidRDefault="00FE401D" w:rsidP="00ED0D1D">
            <w:pPr>
              <w:jc w:val="center"/>
            </w:pPr>
            <w:r w:rsidRPr="00CA52DD">
              <w:t>2018 г.</w:t>
            </w:r>
          </w:p>
        </w:tc>
        <w:tc>
          <w:tcPr>
            <w:tcW w:w="201" w:type="pct"/>
            <w:tcBorders>
              <w:top w:val="single" w:sz="4" w:space="0" w:color="auto"/>
              <w:left w:val="single" w:sz="4" w:space="0" w:color="auto"/>
              <w:bottom w:val="single" w:sz="8" w:space="0" w:color="auto"/>
              <w:right w:val="single" w:sz="4" w:space="0" w:color="auto"/>
            </w:tcBorders>
          </w:tcPr>
          <w:p w:rsidR="00B57AF5" w:rsidRPr="00CA52DD" w:rsidRDefault="00B57AF5" w:rsidP="00ED0D1D">
            <w:pPr>
              <w:autoSpaceDE w:val="0"/>
              <w:autoSpaceDN w:val="0"/>
              <w:jc w:val="center"/>
            </w:pPr>
          </w:p>
        </w:tc>
        <w:tc>
          <w:tcPr>
            <w:tcW w:w="205" w:type="pct"/>
            <w:tcBorders>
              <w:top w:val="single" w:sz="4" w:space="0" w:color="auto"/>
              <w:left w:val="single" w:sz="4" w:space="0" w:color="auto"/>
              <w:bottom w:val="single" w:sz="8" w:space="0" w:color="auto"/>
              <w:right w:val="single" w:sz="4" w:space="0" w:color="auto"/>
            </w:tcBorders>
          </w:tcPr>
          <w:p w:rsidR="00B57AF5" w:rsidRPr="00CA52DD" w:rsidRDefault="00B57AF5" w:rsidP="00ED0D1D">
            <w:pPr>
              <w:autoSpaceDE w:val="0"/>
              <w:autoSpaceDN w:val="0"/>
              <w:jc w:val="center"/>
            </w:pPr>
          </w:p>
        </w:tc>
        <w:tc>
          <w:tcPr>
            <w:tcW w:w="255" w:type="pct"/>
            <w:tcBorders>
              <w:top w:val="single" w:sz="4" w:space="0" w:color="auto"/>
              <w:left w:val="single" w:sz="4" w:space="0" w:color="auto"/>
              <w:bottom w:val="single" w:sz="8" w:space="0" w:color="auto"/>
              <w:right w:val="single" w:sz="4" w:space="0" w:color="auto"/>
            </w:tcBorders>
          </w:tcPr>
          <w:p w:rsidR="00B57AF5" w:rsidRPr="00CA52DD" w:rsidRDefault="00B57AF5" w:rsidP="00ED0D1D">
            <w:pPr>
              <w:autoSpaceDE w:val="0"/>
              <w:autoSpaceDN w:val="0"/>
              <w:jc w:val="center"/>
            </w:pPr>
          </w:p>
        </w:tc>
        <w:tc>
          <w:tcPr>
            <w:tcW w:w="252" w:type="pct"/>
            <w:tcBorders>
              <w:top w:val="single" w:sz="4" w:space="0" w:color="auto"/>
              <w:left w:val="single" w:sz="4" w:space="0" w:color="auto"/>
              <w:bottom w:val="single" w:sz="8" w:space="0" w:color="auto"/>
              <w:right w:val="single" w:sz="4" w:space="0" w:color="auto"/>
            </w:tcBorders>
          </w:tcPr>
          <w:p w:rsidR="00B57AF5" w:rsidRPr="00CA52DD" w:rsidRDefault="00B57AF5" w:rsidP="00ED0D1D">
            <w:pPr>
              <w:autoSpaceDE w:val="0"/>
              <w:autoSpaceDN w:val="0"/>
              <w:jc w:val="center"/>
            </w:pPr>
          </w:p>
        </w:tc>
        <w:tc>
          <w:tcPr>
            <w:tcW w:w="310" w:type="pct"/>
            <w:tcBorders>
              <w:top w:val="single" w:sz="4" w:space="0" w:color="auto"/>
              <w:left w:val="single" w:sz="4" w:space="0" w:color="auto"/>
              <w:bottom w:val="single" w:sz="8" w:space="0" w:color="auto"/>
              <w:right w:val="single" w:sz="8" w:space="0" w:color="auto"/>
            </w:tcBorders>
          </w:tcPr>
          <w:p w:rsidR="00B57AF5" w:rsidRPr="00CA52DD" w:rsidRDefault="00B57AF5" w:rsidP="00ED0D1D">
            <w:pPr>
              <w:autoSpaceDE w:val="0"/>
              <w:autoSpaceDN w:val="0"/>
              <w:jc w:val="cente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57AF5" w:rsidRPr="00CA52DD" w:rsidRDefault="00FE401D" w:rsidP="00ED0D1D">
            <w:pPr>
              <w:autoSpaceDE w:val="0"/>
              <w:autoSpaceDN w:val="0"/>
              <w:jc w:val="center"/>
              <w:rPr>
                <w:rFonts w:eastAsia="Times New Roman"/>
                <w:color w:val="000000"/>
                <w:lang w:val="kk-KZ" w:eastAsia="ru-RU"/>
              </w:rPr>
            </w:pPr>
            <w:r w:rsidRPr="00CA52DD">
              <w:rPr>
                <w:rFonts w:eastAsia="Times New Roman"/>
                <w:color w:val="000000"/>
                <w:lang w:val="kk-KZ" w:eastAsia="ru-RU"/>
              </w:rPr>
              <w:t>Не требуется</w:t>
            </w:r>
          </w:p>
        </w:tc>
      </w:tr>
      <w:tr w:rsidR="00BF615F" w:rsidRPr="00CA52DD" w:rsidTr="00FA35FD">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615F" w:rsidRPr="00CA52DD" w:rsidRDefault="00BF615F" w:rsidP="00BF615F">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DF0398" w:rsidP="00BF615F">
            <w:pPr>
              <w:jc w:val="both"/>
              <w:rPr>
                <w:rFonts w:eastAsia="Times New Roman"/>
              </w:rPr>
            </w:pPr>
            <w:r w:rsidRPr="00CA52DD">
              <w:rPr>
                <w:rFonts w:eastAsia="Times New Roman"/>
              </w:rPr>
              <w:t xml:space="preserve">Предусмотреть четкие преференции для отечественных товаропроизводителей </w:t>
            </w:r>
            <w:proofErr w:type="gramStart"/>
            <w:r w:rsidRPr="00CA52DD">
              <w:rPr>
                <w:rFonts w:eastAsia="Times New Roman"/>
              </w:rPr>
              <w:t>при</w:t>
            </w:r>
            <w:proofErr w:type="gramEnd"/>
            <w:r w:rsidRPr="00CA52DD">
              <w:rPr>
                <w:rFonts w:eastAsia="Times New Roman"/>
              </w:rPr>
              <w:t xml:space="preserve"> государственной</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DF0398" w:rsidP="00BF615F">
            <w:pPr>
              <w:jc w:val="center"/>
              <w:rPr>
                <w:rFonts w:eastAsia="Times New Roman"/>
              </w:rPr>
            </w:pPr>
            <w:r w:rsidRPr="00CA52DD">
              <w:rPr>
                <w:rFonts w:eastAsia="Times New Roman"/>
              </w:rPr>
              <w:t>Предложение в Правительство</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BF615F" w:rsidP="00C273C0">
            <w:pPr>
              <w:jc w:val="center"/>
            </w:pPr>
            <w:r w:rsidRPr="00CA52DD">
              <w:t xml:space="preserve">МИР, </w:t>
            </w:r>
            <w:r w:rsidR="00C273C0" w:rsidRPr="00CA52DD">
              <w:t>МЗ</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F615F" w:rsidRPr="00CA52DD" w:rsidRDefault="00BF615F" w:rsidP="00BF615F">
            <w:pPr>
              <w:jc w:val="center"/>
            </w:pPr>
            <w:r w:rsidRPr="00CA52DD">
              <w:t>2018 г.</w:t>
            </w:r>
          </w:p>
        </w:tc>
        <w:tc>
          <w:tcPr>
            <w:tcW w:w="201"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205"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255"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252"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310" w:type="pct"/>
            <w:tcBorders>
              <w:top w:val="single" w:sz="4" w:space="0" w:color="auto"/>
              <w:left w:val="single" w:sz="4" w:space="0" w:color="auto"/>
              <w:bottom w:val="single" w:sz="8" w:space="0" w:color="auto"/>
              <w:right w:val="single" w:sz="8" w:space="0" w:color="auto"/>
            </w:tcBorders>
          </w:tcPr>
          <w:p w:rsidR="00BF615F" w:rsidRPr="00CA52DD" w:rsidRDefault="00BF615F" w:rsidP="00BF615F">
            <w:pPr>
              <w:autoSpaceDE w:val="0"/>
              <w:autoSpaceDN w:val="0"/>
              <w:jc w:val="cente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BF615F" w:rsidP="00BF615F">
            <w:pPr>
              <w:autoSpaceDE w:val="0"/>
              <w:autoSpaceDN w:val="0"/>
              <w:jc w:val="center"/>
              <w:rPr>
                <w:rFonts w:eastAsia="Times New Roman"/>
                <w:color w:val="000000"/>
                <w:lang w:val="kk-KZ" w:eastAsia="ru-RU"/>
              </w:rPr>
            </w:pPr>
            <w:r w:rsidRPr="00CA52DD">
              <w:rPr>
                <w:rFonts w:eastAsia="Times New Roman"/>
                <w:color w:val="000000"/>
                <w:lang w:val="kk-KZ" w:eastAsia="ru-RU"/>
              </w:rPr>
              <w:t>Не требуется</w:t>
            </w:r>
          </w:p>
        </w:tc>
      </w:tr>
      <w:tr w:rsidR="00BF615F" w:rsidRPr="00CA52DD" w:rsidTr="00FA35FD">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F615F" w:rsidRPr="00CA52DD" w:rsidRDefault="00BF615F" w:rsidP="00BF615F">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DF0398" w:rsidP="00BF615F">
            <w:pPr>
              <w:jc w:val="both"/>
              <w:rPr>
                <w:rFonts w:eastAsia="Times New Roman"/>
              </w:rPr>
            </w:pPr>
            <w:r w:rsidRPr="00CA52DD">
              <w:rPr>
                <w:rFonts w:eastAsia="Times New Roman"/>
              </w:rPr>
              <w:t>Введение системного подхода и мер поддержки в решении ключевых проблем отечественных производителей</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C273C0" w:rsidP="00BF615F">
            <w:pPr>
              <w:jc w:val="center"/>
              <w:rPr>
                <w:rFonts w:eastAsia="Times New Roman"/>
              </w:rPr>
            </w:pPr>
            <w:r w:rsidRPr="00CA52DD">
              <w:rPr>
                <w:rFonts w:eastAsia="Times New Roman"/>
              </w:rPr>
              <w:t>Предложение в Правительство</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C273C0" w:rsidP="00BF615F">
            <w:pPr>
              <w:jc w:val="center"/>
            </w:pPr>
            <w:r w:rsidRPr="00CA52DD">
              <w:t xml:space="preserve">МЗ, МИР, НПП (по </w:t>
            </w:r>
            <w:proofErr w:type="spellStart"/>
            <w:r w:rsidRPr="00CA52DD">
              <w:t>согл</w:t>
            </w:r>
            <w:proofErr w:type="spellEnd"/>
            <w:r w:rsidRPr="00CA52DD">
              <w:t>.)</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BF615F" w:rsidRPr="00CA52DD" w:rsidRDefault="00BF615F" w:rsidP="00BF615F">
            <w:pPr>
              <w:jc w:val="center"/>
            </w:pPr>
            <w:r w:rsidRPr="00CA52DD">
              <w:t>2018 г.</w:t>
            </w:r>
          </w:p>
        </w:tc>
        <w:tc>
          <w:tcPr>
            <w:tcW w:w="201"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205"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255"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252" w:type="pct"/>
            <w:tcBorders>
              <w:top w:val="single" w:sz="4" w:space="0" w:color="auto"/>
              <w:left w:val="single" w:sz="4" w:space="0" w:color="auto"/>
              <w:bottom w:val="single" w:sz="8" w:space="0" w:color="auto"/>
              <w:right w:val="single" w:sz="4" w:space="0" w:color="auto"/>
            </w:tcBorders>
          </w:tcPr>
          <w:p w:rsidR="00BF615F" w:rsidRPr="00CA52DD" w:rsidRDefault="00BF615F" w:rsidP="00BF615F">
            <w:pPr>
              <w:autoSpaceDE w:val="0"/>
              <w:autoSpaceDN w:val="0"/>
              <w:jc w:val="center"/>
            </w:pPr>
          </w:p>
        </w:tc>
        <w:tc>
          <w:tcPr>
            <w:tcW w:w="310" w:type="pct"/>
            <w:tcBorders>
              <w:top w:val="single" w:sz="4" w:space="0" w:color="auto"/>
              <w:left w:val="single" w:sz="4" w:space="0" w:color="auto"/>
              <w:bottom w:val="single" w:sz="8" w:space="0" w:color="auto"/>
              <w:right w:val="single" w:sz="8" w:space="0" w:color="auto"/>
            </w:tcBorders>
          </w:tcPr>
          <w:p w:rsidR="00BF615F" w:rsidRPr="00CA52DD" w:rsidRDefault="00BF615F" w:rsidP="00BF615F">
            <w:pPr>
              <w:autoSpaceDE w:val="0"/>
              <w:autoSpaceDN w:val="0"/>
              <w:jc w:val="cente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F615F" w:rsidRPr="00CA52DD" w:rsidRDefault="00BF615F" w:rsidP="00BF615F">
            <w:pPr>
              <w:autoSpaceDE w:val="0"/>
              <w:autoSpaceDN w:val="0"/>
              <w:jc w:val="center"/>
              <w:rPr>
                <w:rFonts w:eastAsia="Times New Roman"/>
                <w:color w:val="000000"/>
                <w:lang w:val="kk-KZ" w:eastAsia="ru-RU"/>
              </w:rPr>
            </w:pPr>
            <w:r w:rsidRPr="00CA52DD">
              <w:rPr>
                <w:rFonts w:eastAsia="Times New Roman"/>
                <w:color w:val="000000"/>
                <w:lang w:val="kk-KZ" w:eastAsia="ru-RU"/>
              </w:rPr>
              <w:t>Не требуется</w:t>
            </w:r>
          </w:p>
        </w:tc>
      </w:tr>
      <w:tr w:rsidR="00BF615F" w:rsidRPr="00CA52DD" w:rsidTr="00DF0398">
        <w:trPr>
          <w:trHeight w:val="371"/>
          <w:jc w:val="center"/>
        </w:trPr>
        <w:tc>
          <w:tcPr>
            <w:tcW w:w="19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BF615F" w:rsidRPr="00CA52DD" w:rsidRDefault="00BF615F" w:rsidP="00BF615F">
            <w:pPr>
              <w:autoSpaceDE w:val="0"/>
              <w:autoSpaceDN w:val="0"/>
              <w:jc w:val="center"/>
              <w:rPr>
                <w:rFonts w:eastAsia="Times New Roman"/>
                <w:b/>
                <w:bCs/>
              </w:rPr>
            </w:pPr>
          </w:p>
        </w:tc>
        <w:tc>
          <w:tcPr>
            <w:tcW w:w="121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F615F" w:rsidRPr="00CA52DD" w:rsidRDefault="00DF0398" w:rsidP="00BF615F">
            <w:pPr>
              <w:jc w:val="both"/>
              <w:rPr>
                <w:rFonts w:eastAsia="Times New Roman"/>
              </w:rPr>
            </w:pPr>
            <w:r w:rsidRPr="00CA52DD">
              <w:rPr>
                <w:rFonts w:eastAsia="Times New Roman"/>
              </w:rPr>
              <w:t>Предусмотреть упрощение процедуру внесения изменений в регистрационное досье и ввести ускоренные режимы регистрации, перерегистрации внесении изменений продукции вторичного экспорта</w:t>
            </w:r>
          </w:p>
        </w:tc>
        <w:tc>
          <w:tcPr>
            <w:tcW w:w="51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F615F" w:rsidRPr="00CA52DD" w:rsidRDefault="00C273C0" w:rsidP="00BF615F">
            <w:pPr>
              <w:jc w:val="center"/>
              <w:rPr>
                <w:rFonts w:eastAsia="Times New Roman"/>
              </w:rPr>
            </w:pPr>
            <w:r w:rsidRPr="00CA52DD">
              <w:rPr>
                <w:rFonts w:eastAsia="Times New Roman"/>
              </w:rPr>
              <w:t>Предложение в Правительство</w:t>
            </w:r>
          </w:p>
        </w:tc>
        <w:tc>
          <w:tcPr>
            <w:tcW w:w="61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F615F" w:rsidRPr="00CA52DD" w:rsidRDefault="00C273C0" w:rsidP="00BF615F">
            <w:pPr>
              <w:jc w:val="center"/>
            </w:pPr>
            <w:r w:rsidRPr="00CA52DD">
              <w:t xml:space="preserve">МЗ, МИР, НПП (по </w:t>
            </w:r>
            <w:proofErr w:type="spellStart"/>
            <w:r w:rsidRPr="00CA52DD">
              <w:t>согл</w:t>
            </w:r>
            <w:proofErr w:type="spellEnd"/>
            <w:r w:rsidRPr="00CA52DD">
              <w:t>.)</w:t>
            </w:r>
          </w:p>
        </w:tc>
        <w:tc>
          <w:tcPr>
            <w:tcW w:w="577"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BF615F" w:rsidRPr="00CA52DD" w:rsidRDefault="00BF615F" w:rsidP="00BF615F">
            <w:pPr>
              <w:jc w:val="center"/>
            </w:pPr>
            <w:r w:rsidRPr="00CA52DD">
              <w:t>2018 г.</w:t>
            </w:r>
          </w:p>
        </w:tc>
        <w:tc>
          <w:tcPr>
            <w:tcW w:w="201" w:type="pct"/>
            <w:tcBorders>
              <w:top w:val="single" w:sz="4" w:space="0" w:color="auto"/>
              <w:left w:val="single" w:sz="4" w:space="0" w:color="auto"/>
              <w:bottom w:val="single" w:sz="4" w:space="0" w:color="auto"/>
              <w:right w:val="single" w:sz="4" w:space="0" w:color="auto"/>
            </w:tcBorders>
          </w:tcPr>
          <w:p w:rsidR="00BF615F" w:rsidRPr="00CA52DD" w:rsidRDefault="00BF615F" w:rsidP="00BF615F">
            <w:pPr>
              <w:autoSpaceDE w:val="0"/>
              <w:autoSpaceDN w:val="0"/>
              <w:jc w:val="center"/>
            </w:pPr>
          </w:p>
        </w:tc>
        <w:tc>
          <w:tcPr>
            <w:tcW w:w="205" w:type="pct"/>
            <w:tcBorders>
              <w:top w:val="single" w:sz="4" w:space="0" w:color="auto"/>
              <w:left w:val="single" w:sz="4" w:space="0" w:color="auto"/>
              <w:bottom w:val="single" w:sz="4" w:space="0" w:color="auto"/>
              <w:right w:val="single" w:sz="4" w:space="0" w:color="auto"/>
            </w:tcBorders>
          </w:tcPr>
          <w:p w:rsidR="00BF615F" w:rsidRPr="00CA52DD" w:rsidRDefault="00BF615F" w:rsidP="00BF615F">
            <w:pPr>
              <w:autoSpaceDE w:val="0"/>
              <w:autoSpaceDN w:val="0"/>
              <w:jc w:val="center"/>
            </w:pPr>
          </w:p>
        </w:tc>
        <w:tc>
          <w:tcPr>
            <w:tcW w:w="255" w:type="pct"/>
            <w:tcBorders>
              <w:top w:val="single" w:sz="4" w:space="0" w:color="auto"/>
              <w:left w:val="single" w:sz="4" w:space="0" w:color="auto"/>
              <w:bottom w:val="single" w:sz="4" w:space="0" w:color="auto"/>
              <w:right w:val="single" w:sz="4" w:space="0" w:color="auto"/>
            </w:tcBorders>
          </w:tcPr>
          <w:p w:rsidR="00BF615F" w:rsidRPr="00CA52DD" w:rsidRDefault="00BF615F" w:rsidP="00BF615F">
            <w:pPr>
              <w:autoSpaceDE w:val="0"/>
              <w:autoSpaceDN w:val="0"/>
              <w:jc w:val="center"/>
            </w:pPr>
          </w:p>
        </w:tc>
        <w:tc>
          <w:tcPr>
            <w:tcW w:w="252" w:type="pct"/>
            <w:tcBorders>
              <w:top w:val="single" w:sz="4" w:space="0" w:color="auto"/>
              <w:left w:val="single" w:sz="4" w:space="0" w:color="auto"/>
              <w:bottom w:val="single" w:sz="4" w:space="0" w:color="auto"/>
              <w:right w:val="single" w:sz="4" w:space="0" w:color="auto"/>
            </w:tcBorders>
          </w:tcPr>
          <w:p w:rsidR="00BF615F" w:rsidRPr="00CA52DD" w:rsidRDefault="00BF615F" w:rsidP="00BF615F">
            <w:pPr>
              <w:autoSpaceDE w:val="0"/>
              <w:autoSpaceDN w:val="0"/>
              <w:jc w:val="center"/>
            </w:pPr>
          </w:p>
        </w:tc>
        <w:tc>
          <w:tcPr>
            <w:tcW w:w="310" w:type="pct"/>
            <w:tcBorders>
              <w:top w:val="single" w:sz="4" w:space="0" w:color="auto"/>
              <w:left w:val="single" w:sz="4" w:space="0" w:color="auto"/>
              <w:bottom w:val="single" w:sz="4" w:space="0" w:color="auto"/>
              <w:right w:val="single" w:sz="8" w:space="0" w:color="auto"/>
            </w:tcBorders>
          </w:tcPr>
          <w:p w:rsidR="00BF615F" w:rsidRPr="00CA52DD" w:rsidRDefault="00BF615F" w:rsidP="00BF615F">
            <w:pPr>
              <w:autoSpaceDE w:val="0"/>
              <w:autoSpaceDN w:val="0"/>
              <w:jc w:val="center"/>
            </w:pPr>
          </w:p>
        </w:tc>
        <w:tc>
          <w:tcPr>
            <w:tcW w:w="64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BF615F" w:rsidRPr="00CA52DD" w:rsidRDefault="00BF615F" w:rsidP="00BF615F">
            <w:pPr>
              <w:autoSpaceDE w:val="0"/>
              <w:autoSpaceDN w:val="0"/>
              <w:jc w:val="center"/>
              <w:rPr>
                <w:rFonts w:eastAsia="Times New Roman"/>
                <w:color w:val="000000"/>
                <w:lang w:val="kk-KZ" w:eastAsia="ru-RU"/>
              </w:rPr>
            </w:pPr>
            <w:r w:rsidRPr="00CA52DD">
              <w:rPr>
                <w:rFonts w:eastAsia="Times New Roman"/>
                <w:color w:val="000000"/>
                <w:lang w:val="kk-KZ" w:eastAsia="ru-RU"/>
              </w:rPr>
              <w:t>Не требуется</w:t>
            </w:r>
          </w:p>
        </w:tc>
      </w:tr>
      <w:tr w:rsidR="00DF0398" w:rsidRPr="00CA52DD" w:rsidTr="00FA35FD">
        <w:trPr>
          <w:trHeight w:val="371"/>
          <w:jc w:val="center"/>
        </w:trPr>
        <w:tc>
          <w:tcPr>
            <w:tcW w:w="19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F0398" w:rsidRPr="00CA52DD" w:rsidRDefault="00DF0398" w:rsidP="00BF615F">
            <w:pPr>
              <w:autoSpaceDE w:val="0"/>
              <w:autoSpaceDN w:val="0"/>
              <w:jc w:val="center"/>
              <w:rPr>
                <w:rFonts w:eastAsia="Times New Roman"/>
                <w:b/>
                <w:bCs/>
              </w:rPr>
            </w:pPr>
          </w:p>
        </w:tc>
        <w:tc>
          <w:tcPr>
            <w:tcW w:w="12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F0398" w:rsidRPr="00CA52DD" w:rsidRDefault="00DF0398" w:rsidP="00BF615F">
            <w:pPr>
              <w:jc w:val="both"/>
              <w:rPr>
                <w:rFonts w:eastAsia="Times New Roman"/>
              </w:rPr>
            </w:pPr>
            <w:r w:rsidRPr="00CA52DD">
              <w:rPr>
                <w:rFonts w:eastAsia="Times New Roman"/>
              </w:rPr>
              <w:t xml:space="preserve">Упростить регистрацию </w:t>
            </w:r>
            <w:proofErr w:type="spellStart"/>
            <w:r w:rsidRPr="00CA52DD">
              <w:rPr>
                <w:rFonts w:eastAsia="Times New Roman"/>
              </w:rPr>
              <w:t>биосимиляров</w:t>
            </w:r>
            <w:proofErr w:type="spellEnd"/>
            <w:r w:rsidRPr="00CA52DD">
              <w:rPr>
                <w:rFonts w:eastAsia="Times New Roman"/>
              </w:rPr>
              <w:t>, производимых при трансферте технологий производства</w:t>
            </w:r>
          </w:p>
        </w:tc>
        <w:tc>
          <w:tcPr>
            <w:tcW w:w="51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F0398" w:rsidRPr="00CA52DD" w:rsidRDefault="00C273C0" w:rsidP="00BF615F">
            <w:pPr>
              <w:jc w:val="center"/>
              <w:rPr>
                <w:rFonts w:eastAsia="Times New Roman"/>
              </w:rPr>
            </w:pPr>
            <w:r w:rsidRPr="00CA52DD">
              <w:rPr>
                <w:rFonts w:eastAsia="Times New Roman"/>
              </w:rPr>
              <w:t>Предложение в Правительство</w:t>
            </w: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F0398" w:rsidRPr="00CA52DD" w:rsidRDefault="00C273C0" w:rsidP="00BF615F">
            <w:pPr>
              <w:jc w:val="center"/>
            </w:pPr>
            <w:r w:rsidRPr="00CA52DD">
              <w:t xml:space="preserve">МЗ, МИР, НПП (по </w:t>
            </w:r>
            <w:proofErr w:type="spellStart"/>
            <w:r w:rsidRPr="00CA52DD">
              <w:t>согл</w:t>
            </w:r>
            <w:proofErr w:type="spellEnd"/>
            <w:r w:rsidRPr="00CA52DD">
              <w:t>.)</w:t>
            </w:r>
          </w:p>
        </w:tc>
        <w:tc>
          <w:tcPr>
            <w:tcW w:w="57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DF0398" w:rsidRPr="00CA52DD" w:rsidRDefault="00DF0398" w:rsidP="00BF615F">
            <w:pPr>
              <w:jc w:val="center"/>
            </w:pPr>
          </w:p>
        </w:tc>
        <w:tc>
          <w:tcPr>
            <w:tcW w:w="201" w:type="pct"/>
            <w:tcBorders>
              <w:top w:val="single" w:sz="4" w:space="0" w:color="auto"/>
              <w:left w:val="single" w:sz="4" w:space="0" w:color="auto"/>
              <w:bottom w:val="single" w:sz="8" w:space="0" w:color="auto"/>
              <w:right w:val="single" w:sz="4" w:space="0" w:color="auto"/>
            </w:tcBorders>
          </w:tcPr>
          <w:p w:rsidR="00DF0398" w:rsidRPr="00CA52DD" w:rsidRDefault="00DF0398" w:rsidP="00BF615F">
            <w:pPr>
              <w:autoSpaceDE w:val="0"/>
              <w:autoSpaceDN w:val="0"/>
              <w:jc w:val="center"/>
            </w:pPr>
          </w:p>
        </w:tc>
        <w:tc>
          <w:tcPr>
            <w:tcW w:w="205" w:type="pct"/>
            <w:tcBorders>
              <w:top w:val="single" w:sz="4" w:space="0" w:color="auto"/>
              <w:left w:val="single" w:sz="4" w:space="0" w:color="auto"/>
              <w:bottom w:val="single" w:sz="8" w:space="0" w:color="auto"/>
              <w:right w:val="single" w:sz="4" w:space="0" w:color="auto"/>
            </w:tcBorders>
          </w:tcPr>
          <w:p w:rsidR="00DF0398" w:rsidRPr="00CA52DD" w:rsidRDefault="00DF0398" w:rsidP="00BF615F">
            <w:pPr>
              <w:autoSpaceDE w:val="0"/>
              <w:autoSpaceDN w:val="0"/>
              <w:jc w:val="center"/>
            </w:pPr>
          </w:p>
        </w:tc>
        <w:tc>
          <w:tcPr>
            <w:tcW w:w="255" w:type="pct"/>
            <w:tcBorders>
              <w:top w:val="single" w:sz="4" w:space="0" w:color="auto"/>
              <w:left w:val="single" w:sz="4" w:space="0" w:color="auto"/>
              <w:bottom w:val="single" w:sz="8" w:space="0" w:color="auto"/>
              <w:right w:val="single" w:sz="4" w:space="0" w:color="auto"/>
            </w:tcBorders>
          </w:tcPr>
          <w:p w:rsidR="00DF0398" w:rsidRPr="00CA52DD" w:rsidRDefault="00DF0398" w:rsidP="00BF615F">
            <w:pPr>
              <w:autoSpaceDE w:val="0"/>
              <w:autoSpaceDN w:val="0"/>
              <w:jc w:val="center"/>
            </w:pPr>
          </w:p>
        </w:tc>
        <w:tc>
          <w:tcPr>
            <w:tcW w:w="252" w:type="pct"/>
            <w:tcBorders>
              <w:top w:val="single" w:sz="4" w:space="0" w:color="auto"/>
              <w:left w:val="single" w:sz="4" w:space="0" w:color="auto"/>
              <w:bottom w:val="single" w:sz="8" w:space="0" w:color="auto"/>
              <w:right w:val="single" w:sz="4" w:space="0" w:color="auto"/>
            </w:tcBorders>
          </w:tcPr>
          <w:p w:rsidR="00DF0398" w:rsidRPr="00CA52DD" w:rsidRDefault="00DF0398" w:rsidP="00BF615F">
            <w:pPr>
              <w:autoSpaceDE w:val="0"/>
              <w:autoSpaceDN w:val="0"/>
              <w:jc w:val="center"/>
            </w:pPr>
          </w:p>
        </w:tc>
        <w:tc>
          <w:tcPr>
            <w:tcW w:w="310" w:type="pct"/>
            <w:tcBorders>
              <w:top w:val="single" w:sz="4" w:space="0" w:color="auto"/>
              <w:left w:val="single" w:sz="4" w:space="0" w:color="auto"/>
              <w:bottom w:val="single" w:sz="8" w:space="0" w:color="auto"/>
              <w:right w:val="single" w:sz="8" w:space="0" w:color="auto"/>
            </w:tcBorders>
          </w:tcPr>
          <w:p w:rsidR="00DF0398" w:rsidRPr="00CA52DD" w:rsidRDefault="00DF0398" w:rsidP="00BF615F">
            <w:pPr>
              <w:autoSpaceDE w:val="0"/>
              <w:autoSpaceDN w:val="0"/>
              <w:jc w:val="center"/>
            </w:pPr>
          </w:p>
        </w:tc>
        <w:tc>
          <w:tcPr>
            <w:tcW w:w="64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F0398" w:rsidRPr="00CA52DD" w:rsidRDefault="00C273C0" w:rsidP="00BF615F">
            <w:pPr>
              <w:autoSpaceDE w:val="0"/>
              <w:autoSpaceDN w:val="0"/>
              <w:jc w:val="center"/>
              <w:rPr>
                <w:rFonts w:eastAsia="Times New Roman"/>
                <w:color w:val="000000"/>
                <w:lang w:val="kk-KZ" w:eastAsia="ru-RU"/>
              </w:rPr>
            </w:pPr>
            <w:r w:rsidRPr="00CA52DD">
              <w:rPr>
                <w:rFonts w:eastAsia="Times New Roman"/>
                <w:color w:val="000000"/>
                <w:lang w:val="kk-KZ" w:eastAsia="ru-RU"/>
              </w:rPr>
              <w:t>Не требуется</w:t>
            </w:r>
          </w:p>
        </w:tc>
      </w:tr>
    </w:tbl>
    <w:p w:rsidR="00F70FBA" w:rsidRPr="00CA52DD" w:rsidRDefault="00F70FBA" w:rsidP="00F70FBA">
      <w:pPr>
        <w:jc w:val="left"/>
        <w:rPr>
          <w:rFonts w:eastAsia="Times New Roman"/>
          <w:lang w:val="kk-KZ"/>
        </w:rPr>
      </w:pPr>
    </w:p>
    <w:p w:rsidR="00BB5012" w:rsidRPr="006D3B82" w:rsidRDefault="00F70FBA" w:rsidP="006D3B82">
      <w:pPr>
        <w:jc w:val="center"/>
        <w:rPr>
          <w:rFonts w:eastAsia="Times New Roman"/>
          <w:lang w:val="kk-KZ" w:eastAsia="ru-RU"/>
        </w:rPr>
      </w:pPr>
      <w:r w:rsidRPr="00CA52DD">
        <w:rPr>
          <w:rFonts w:eastAsia="Times New Roman"/>
          <w:color w:val="000000"/>
          <w:lang w:val="kk-KZ"/>
        </w:rPr>
        <w:t>__________</w:t>
      </w:r>
      <w:r w:rsidR="006D3B82" w:rsidRPr="00CA52DD">
        <w:rPr>
          <w:rFonts w:eastAsia="Times New Roman"/>
          <w:color w:val="000000"/>
          <w:lang w:val="kk-KZ"/>
        </w:rPr>
        <w:t>_______________________________</w:t>
      </w:r>
    </w:p>
    <w:sectPr w:rsidR="00BB5012" w:rsidRPr="006D3B82" w:rsidSect="00751877">
      <w:headerReference w:type="default" r:id="rId9"/>
      <w:footnotePr>
        <w:numRestart w:val="eachPage"/>
      </w:footnotePr>
      <w:pgSz w:w="16840" w:h="11907" w:orient="landscape" w:code="9"/>
      <w:pgMar w:top="993" w:right="1418" w:bottom="851" w:left="1418" w:header="567"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57" w:rsidRDefault="00FB2E57">
      <w:r>
        <w:separator/>
      </w:r>
    </w:p>
  </w:endnote>
  <w:endnote w:type="continuationSeparator" w:id="0">
    <w:p w:rsidR="00FB2E57" w:rsidRDefault="00FB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57" w:rsidRDefault="00FB2E57">
      <w:r>
        <w:separator/>
      </w:r>
    </w:p>
  </w:footnote>
  <w:footnote w:type="continuationSeparator" w:id="0">
    <w:p w:rsidR="00FB2E57" w:rsidRDefault="00FB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98873"/>
      <w:docPartObj>
        <w:docPartGallery w:val="Page Numbers (Top of Page)"/>
        <w:docPartUnique/>
      </w:docPartObj>
    </w:sdtPr>
    <w:sdtEndPr>
      <w:rPr>
        <w:rFonts w:ascii="Times New Roman" w:hAnsi="Times New Roman" w:cs="Times New Roman"/>
        <w:sz w:val="24"/>
      </w:rPr>
    </w:sdtEndPr>
    <w:sdtContent>
      <w:p w:rsidR="00567090" w:rsidRPr="00751877" w:rsidRDefault="0031351A" w:rsidP="00751877">
        <w:pPr>
          <w:pStyle w:val="a4"/>
          <w:jc w:val="center"/>
          <w:rPr>
            <w:rFonts w:ascii="Times New Roman" w:hAnsi="Times New Roman" w:cs="Times New Roman"/>
            <w:sz w:val="24"/>
          </w:rPr>
        </w:pPr>
        <w:r w:rsidRPr="0031351A">
          <w:rPr>
            <w:rFonts w:ascii="Times New Roman" w:hAnsi="Times New Roman" w:cs="Times New Roman"/>
            <w:sz w:val="24"/>
          </w:rPr>
          <w:fldChar w:fldCharType="begin"/>
        </w:r>
        <w:r w:rsidRPr="0031351A">
          <w:rPr>
            <w:rFonts w:ascii="Times New Roman" w:hAnsi="Times New Roman" w:cs="Times New Roman"/>
            <w:sz w:val="24"/>
          </w:rPr>
          <w:instrText>PAGE   \* MERGEFORMAT</w:instrText>
        </w:r>
        <w:r w:rsidRPr="0031351A">
          <w:rPr>
            <w:rFonts w:ascii="Times New Roman" w:hAnsi="Times New Roman" w:cs="Times New Roman"/>
            <w:sz w:val="24"/>
          </w:rPr>
          <w:fldChar w:fldCharType="separate"/>
        </w:r>
        <w:r w:rsidR="00273BFF">
          <w:rPr>
            <w:rFonts w:ascii="Times New Roman" w:hAnsi="Times New Roman" w:cs="Times New Roman"/>
            <w:noProof/>
            <w:sz w:val="24"/>
          </w:rPr>
          <w:t>6</w:t>
        </w:r>
        <w:r w:rsidRPr="0031351A">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751"/>
    <w:multiLevelType w:val="hybridMultilevel"/>
    <w:tmpl w:val="7F1E32B4"/>
    <w:lvl w:ilvl="0" w:tplc="C64CD008">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F57052"/>
    <w:multiLevelType w:val="hybridMultilevel"/>
    <w:tmpl w:val="7F4ADD64"/>
    <w:lvl w:ilvl="0" w:tplc="A36AA0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A292B"/>
    <w:multiLevelType w:val="hybridMultilevel"/>
    <w:tmpl w:val="A4E4466A"/>
    <w:lvl w:ilvl="0" w:tplc="46824ABC">
      <w:start w:val="4"/>
      <w:numFmt w:val="decimal"/>
      <w:lvlText w:val="%1."/>
      <w:lvlJc w:val="left"/>
      <w:pPr>
        <w:ind w:left="121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1132B56"/>
    <w:multiLevelType w:val="hybridMultilevel"/>
    <w:tmpl w:val="77927824"/>
    <w:lvl w:ilvl="0" w:tplc="5EEAD16A">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72520"/>
    <w:multiLevelType w:val="hybridMultilevel"/>
    <w:tmpl w:val="1304E7A0"/>
    <w:lvl w:ilvl="0" w:tplc="41689E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DC364A"/>
    <w:multiLevelType w:val="hybridMultilevel"/>
    <w:tmpl w:val="EC4CE31E"/>
    <w:lvl w:ilvl="0" w:tplc="A1887B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9951590"/>
    <w:multiLevelType w:val="hybridMultilevel"/>
    <w:tmpl w:val="6E10B724"/>
    <w:lvl w:ilvl="0" w:tplc="ED7AF758">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C905D0"/>
    <w:multiLevelType w:val="hybridMultilevel"/>
    <w:tmpl w:val="FFF4CC90"/>
    <w:lvl w:ilvl="0" w:tplc="82208E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1806237"/>
    <w:multiLevelType w:val="hybridMultilevel"/>
    <w:tmpl w:val="17E8900E"/>
    <w:lvl w:ilvl="0" w:tplc="C270F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7640D6"/>
    <w:multiLevelType w:val="hybridMultilevel"/>
    <w:tmpl w:val="BD6EC870"/>
    <w:lvl w:ilvl="0" w:tplc="7D44F82E">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D417ED"/>
    <w:multiLevelType w:val="hybridMultilevel"/>
    <w:tmpl w:val="CB2E3350"/>
    <w:lvl w:ilvl="0" w:tplc="56F09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0"/>
  </w:num>
  <w:num w:numId="3">
    <w:abstractNumId w:val="7"/>
  </w:num>
  <w:num w:numId="4">
    <w:abstractNumId w:val="4"/>
  </w:num>
  <w:num w:numId="5">
    <w:abstractNumId w:val="8"/>
  </w:num>
  <w:num w:numId="6">
    <w:abstractNumId w:val="2"/>
  </w:num>
  <w:num w:numId="7">
    <w:abstractNumId w:val="1"/>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A3"/>
    <w:rsid w:val="0001671C"/>
    <w:rsid w:val="000265E7"/>
    <w:rsid w:val="000870D4"/>
    <w:rsid w:val="000C502B"/>
    <w:rsid w:val="0010565E"/>
    <w:rsid w:val="00106454"/>
    <w:rsid w:val="0013470E"/>
    <w:rsid w:val="001408D6"/>
    <w:rsid w:val="00141CB8"/>
    <w:rsid w:val="001469E7"/>
    <w:rsid w:val="00156A50"/>
    <w:rsid w:val="001C71B8"/>
    <w:rsid w:val="001F501B"/>
    <w:rsid w:val="00210571"/>
    <w:rsid w:val="002218C6"/>
    <w:rsid w:val="00224CB1"/>
    <w:rsid w:val="00230059"/>
    <w:rsid w:val="00232D38"/>
    <w:rsid w:val="00233165"/>
    <w:rsid w:val="00236D41"/>
    <w:rsid w:val="002375C4"/>
    <w:rsid w:val="002403E6"/>
    <w:rsid w:val="00256E07"/>
    <w:rsid w:val="00265FC8"/>
    <w:rsid w:val="00273BFF"/>
    <w:rsid w:val="002836AB"/>
    <w:rsid w:val="002A5DDF"/>
    <w:rsid w:val="002D74A7"/>
    <w:rsid w:val="0031351A"/>
    <w:rsid w:val="003352F3"/>
    <w:rsid w:val="00341C05"/>
    <w:rsid w:val="00355BA0"/>
    <w:rsid w:val="00367CD2"/>
    <w:rsid w:val="003704E2"/>
    <w:rsid w:val="003716C5"/>
    <w:rsid w:val="00372D58"/>
    <w:rsid w:val="003B224C"/>
    <w:rsid w:val="003B3655"/>
    <w:rsid w:val="003B7C9B"/>
    <w:rsid w:val="00412908"/>
    <w:rsid w:val="00413BCE"/>
    <w:rsid w:val="004245F5"/>
    <w:rsid w:val="004341BC"/>
    <w:rsid w:val="00447225"/>
    <w:rsid w:val="0047533A"/>
    <w:rsid w:val="00487BD0"/>
    <w:rsid w:val="00490C22"/>
    <w:rsid w:val="00496A2B"/>
    <w:rsid w:val="004A2ADA"/>
    <w:rsid w:val="004B12E1"/>
    <w:rsid w:val="004B4F0B"/>
    <w:rsid w:val="004B6284"/>
    <w:rsid w:val="004C0C94"/>
    <w:rsid w:val="004D1121"/>
    <w:rsid w:val="004E0ACC"/>
    <w:rsid w:val="004E3E3C"/>
    <w:rsid w:val="004E72EB"/>
    <w:rsid w:val="004F0A37"/>
    <w:rsid w:val="00513BED"/>
    <w:rsid w:val="00516C03"/>
    <w:rsid w:val="005300D8"/>
    <w:rsid w:val="005475EA"/>
    <w:rsid w:val="005571BD"/>
    <w:rsid w:val="00561567"/>
    <w:rsid w:val="00567090"/>
    <w:rsid w:val="0058146C"/>
    <w:rsid w:val="00584EF8"/>
    <w:rsid w:val="005A4CD4"/>
    <w:rsid w:val="005A56CA"/>
    <w:rsid w:val="005B1E77"/>
    <w:rsid w:val="005C1E8E"/>
    <w:rsid w:val="005F02E7"/>
    <w:rsid w:val="00626DC1"/>
    <w:rsid w:val="00645CD5"/>
    <w:rsid w:val="006578EF"/>
    <w:rsid w:val="006941F8"/>
    <w:rsid w:val="00697363"/>
    <w:rsid w:val="006B2CA2"/>
    <w:rsid w:val="006D25D5"/>
    <w:rsid w:val="006D3B82"/>
    <w:rsid w:val="006D6350"/>
    <w:rsid w:val="006E161C"/>
    <w:rsid w:val="006E4353"/>
    <w:rsid w:val="006F0293"/>
    <w:rsid w:val="00723AD8"/>
    <w:rsid w:val="007332C8"/>
    <w:rsid w:val="0074237D"/>
    <w:rsid w:val="00747E0E"/>
    <w:rsid w:val="0075079C"/>
    <w:rsid w:val="00751877"/>
    <w:rsid w:val="007A004C"/>
    <w:rsid w:val="007A57E7"/>
    <w:rsid w:val="007C3F9B"/>
    <w:rsid w:val="007C65EF"/>
    <w:rsid w:val="00801CFD"/>
    <w:rsid w:val="00804CEE"/>
    <w:rsid w:val="008060CD"/>
    <w:rsid w:val="00814A7D"/>
    <w:rsid w:val="00834B0B"/>
    <w:rsid w:val="00837EF5"/>
    <w:rsid w:val="008407E5"/>
    <w:rsid w:val="008A00CF"/>
    <w:rsid w:val="008C035F"/>
    <w:rsid w:val="008C1954"/>
    <w:rsid w:val="008F09A2"/>
    <w:rsid w:val="00914D82"/>
    <w:rsid w:val="0094336E"/>
    <w:rsid w:val="009525AF"/>
    <w:rsid w:val="00967360"/>
    <w:rsid w:val="009A3F49"/>
    <w:rsid w:val="009C1400"/>
    <w:rsid w:val="009D475E"/>
    <w:rsid w:val="009F0D6E"/>
    <w:rsid w:val="00A064C0"/>
    <w:rsid w:val="00A34BD1"/>
    <w:rsid w:val="00A42F55"/>
    <w:rsid w:val="00A510E5"/>
    <w:rsid w:val="00A54C5A"/>
    <w:rsid w:val="00A5644A"/>
    <w:rsid w:val="00A9195E"/>
    <w:rsid w:val="00A96F64"/>
    <w:rsid w:val="00AA7170"/>
    <w:rsid w:val="00AD78F0"/>
    <w:rsid w:val="00AE1F63"/>
    <w:rsid w:val="00B055C5"/>
    <w:rsid w:val="00B410A6"/>
    <w:rsid w:val="00B52A6B"/>
    <w:rsid w:val="00B57AF5"/>
    <w:rsid w:val="00B57CBD"/>
    <w:rsid w:val="00B66C44"/>
    <w:rsid w:val="00B824BB"/>
    <w:rsid w:val="00B864C5"/>
    <w:rsid w:val="00B9012B"/>
    <w:rsid w:val="00BA38C4"/>
    <w:rsid w:val="00BB5012"/>
    <w:rsid w:val="00BC202C"/>
    <w:rsid w:val="00BC2319"/>
    <w:rsid w:val="00BC66FD"/>
    <w:rsid w:val="00BF4DD3"/>
    <w:rsid w:val="00BF615F"/>
    <w:rsid w:val="00C172EE"/>
    <w:rsid w:val="00C273C0"/>
    <w:rsid w:val="00C27F3A"/>
    <w:rsid w:val="00C31E9E"/>
    <w:rsid w:val="00C52D93"/>
    <w:rsid w:val="00C70205"/>
    <w:rsid w:val="00C76F81"/>
    <w:rsid w:val="00CA52DD"/>
    <w:rsid w:val="00CA6B2B"/>
    <w:rsid w:val="00CB2BE1"/>
    <w:rsid w:val="00CB431E"/>
    <w:rsid w:val="00CB79A3"/>
    <w:rsid w:val="00CE0EB9"/>
    <w:rsid w:val="00CF2391"/>
    <w:rsid w:val="00D209A3"/>
    <w:rsid w:val="00D42073"/>
    <w:rsid w:val="00D471D4"/>
    <w:rsid w:val="00D671C1"/>
    <w:rsid w:val="00D8730E"/>
    <w:rsid w:val="00DC0AA6"/>
    <w:rsid w:val="00DD3D37"/>
    <w:rsid w:val="00DF0398"/>
    <w:rsid w:val="00E024F4"/>
    <w:rsid w:val="00E16A5F"/>
    <w:rsid w:val="00E22DBA"/>
    <w:rsid w:val="00E23B92"/>
    <w:rsid w:val="00E23BEA"/>
    <w:rsid w:val="00E23FEC"/>
    <w:rsid w:val="00E452D8"/>
    <w:rsid w:val="00E6541D"/>
    <w:rsid w:val="00EA3016"/>
    <w:rsid w:val="00EA61E8"/>
    <w:rsid w:val="00ED0D1D"/>
    <w:rsid w:val="00F50B88"/>
    <w:rsid w:val="00F63673"/>
    <w:rsid w:val="00F70FBA"/>
    <w:rsid w:val="00F91CA5"/>
    <w:rsid w:val="00FA5601"/>
    <w:rsid w:val="00FA6F4F"/>
    <w:rsid w:val="00FB09EB"/>
    <w:rsid w:val="00FB2E57"/>
    <w:rsid w:val="00FB53B6"/>
    <w:rsid w:val="00FC5359"/>
    <w:rsid w:val="00FD4179"/>
    <w:rsid w:val="00FE401D"/>
    <w:rsid w:val="00FE4A37"/>
    <w:rsid w:val="00FE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A3"/>
    <w:pPr>
      <w:ind w:left="720"/>
      <w:contextualSpacing/>
    </w:pPr>
  </w:style>
  <w:style w:type="paragraph" w:styleId="a4">
    <w:name w:val="header"/>
    <w:basedOn w:val="a"/>
    <w:link w:val="a5"/>
    <w:uiPriority w:val="99"/>
    <w:unhideWhenUsed/>
    <w:rsid w:val="001469E7"/>
    <w:pPr>
      <w:tabs>
        <w:tab w:val="center" w:pos="4677"/>
        <w:tab w:val="right" w:pos="9355"/>
      </w:tabs>
      <w:jc w:val="left"/>
    </w:pPr>
    <w:rPr>
      <w:rFonts w:asciiTheme="minorHAnsi" w:hAnsiTheme="minorHAnsi" w:cstheme="minorBidi"/>
      <w:sz w:val="22"/>
      <w:szCs w:val="22"/>
    </w:rPr>
  </w:style>
  <w:style w:type="character" w:customStyle="1" w:styleId="a5">
    <w:name w:val="Верхний колонтитул Знак"/>
    <w:basedOn w:val="a0"/>
    <w:link w:val="a4"/>
    <w:uiPriority w:val="99"/>
    <w:rsid w:val="001469E7"/>
    <w:rPr>
      <w:rFonts w:asciiTheme="minorHAnsi" w:hAnsiTheme="minorHAnsi" w:cstheme="minorBidi"/>
      <w:sz w:val="22"/>
      <w:szCs w:val="22"/>
    </w:rPr>
  </w:style>
  <w:style w:type="paragraph" w:styleId="a6">
    <w:name w:val="footer"/>
    <w:basedOn w:val="a"/>
    <w:link w:val="a7"/>
    <w:uiPriority w:val="99"/>
    <w:unhideWhenUsed/>
    <w:rsid w:val="0031351A"/>
    <w:pPr>
      <w:tabs>
        <w:tab w:val="center" w:pos="4677"/>
        <w:tab w:val="right" w:pos="9355"/>
      </w:tabs>
    </w:pPr>
  </w:style>
  <w:style w:type="character" w:customStyle="1" w:styleId="a7">
    <w:name w:val="Нижний колонтитул Знак"/>
    <w:basedOn w:val="a0"/>
    <w:link w:val="a6"/>
    <w:uiPriority w:val="99"/>
    <w:rsid w:val="0031351A"/>
  </w:style>
  <w:style w:type="paragraph" w:styleId="a8">
    <w:name w:val="Balloon Text"/>
    <w:basedOn w:val="a"/>
    <w:link w:val="a9"/>
    <w:uiPriority w:val="99"/>
    <w:semiHidden/>
    <w:unhideWhenUsed/>
    <w:rsid w:val="001F501B"/>
    <w:rPr>
      <w:rFonts w:ascii="Tahoma" w:hAnsi="Tahoma" w:cs="Tahoma"/>
      <w:sz w:val="16"/>
      <w:szCs w:val="16"/>
    </w:rPr>
  </w:style>
  <w:style w:type="character" w:customStyle="1" w:styleId="a9">
    <w:name w:val="Текст выноски Знак"/>
    <w:basedOn w:val="a0"/>
    <w:link w:val="a8"/>
    <w:uiPriority w:val="99"/>
    <w:semiHidden/>
    <w:rsid w:val="001F501B"/>
    <w:rPr>
      <w:rFonts w:ascii="Tahoma" w:hAnsi="Tahoma" w:cs="Tahoma"/>
      <w:sz w:val="16"/>
      <w:szCs w:val="16"/>
    </w:rPr>
  </w:style>
  <w:style w:type="paragraph" w:styleId="aa">
    <w:name w:val="Normal (Web)"/>
    <w:aliases w:val="Знак Знак3,Знак4 Знак Знак,Знак4,Обычный (Web),Знак4 Знак,Обычный (Web) Знак Знак Знак Знак,Обычный (Web) Знак Знак Знак Знак Знак Знак Знак Знак Знак,Обычный (Web) Знак Знак Знак Знак Знак,Обычный (Web)1, Знак4,Обычный (веб) Знак1,Знак4 З"/>
    <w:basedOn w:val="a"/>
    <w:link w:val="ab"/>
    <w:uiPriority w:val="99"/>
    <w:unhideWhenUsed/>
    <w:rsid w:val="00A5644A"/>
    <w:pPr>
      <w:spacing w:before="100" w:beforeAutospacing="1" w:after="100" w:afterAutospacing="1"/>
      <w:jc w:val="left"/>
    </w:pPr>
    <w:rPr>
      <w:rFonts w:eastAsia="Times New Roman"/>
      <w:sz w:val="24"/>
      <w:szCs w:val="24"/>
      <w:lang w:val="x-none" w:eastAsia="x-none"/>
    </w:rPr>
  </w:style>
  <w:style w:type="character" w:customStyle="1" w:styleId="ab">
    <w:name w:val="Обычный (веб) Знак"/>
    <w:aliases w:val="Знак Знак3 Знак,Знак4 Знак Знак Знак,Знак4 Знак1,Обычный (Web) Знак,Знак4 Знак Знак1,Обычный (Web) Знак Знак Знак Знак Знак1,Обычный (Web) Знак Знак Знак Знак Знак Знак Знак Знак Знак Знак,Обычный (Web) Знак Знак Знак Знак Знак Знак"/>
    <w:link w:val="aa"/>
    <w:uiPriority w:val="99"/>
    <w:locked/>
    <w:rsid w:val="00A5644A"/>
    <w:rPr>
      <w:rFonts w:eastAsia="Times New Roman"/>
      <w:sz w:val="24"/>
      <w:szCs w:val="24"/>
      <w:lang w:val="x-none" w:eastAsia="x-none"/>
    </w:rPr>
  </w:style>
  <w:style w:type="paragraph" w:styleId="ac">
    <w:name w:val="endnote text"/>
    <w:basedOn w:val="a"/>
    <w:link w:val="ad"/>
    <w:uiPriority w:val="99"/>
    <w:semiHidden/>
    <w:unhideWhenUsed/>
    <w:rsid w:val="006941F8"/>
    <w:rPr>
      <w:sz w:val="20"/>
      <w:szCs w:val="20"/>
    </w:rPr>
  </w:style>
  <w:style w:type="character" w:customStyle="1" w:styleId="ad">
    <w:name w:val="Текст концевой сноски Знак"/>
    <w:basedOn w:val="a0"/>
    <w:link w:val="ac"/>
    <w:uiPriority w:val="99"/>
    <w:semiHidden/>
    <w:rsid w:val="006941F8"/>
    <w:rPr>
      <w:sz w:val="20"/>
      <w:szCs w:val="20"/>
    </w:rPr>
  </w:style>
  <w:style w:type="character" w:styleId="ae">
    <w:name w:val="endnote reference"/>
    <w:basedOn w:val="a0"/>
    <w:uiPriority w:val="99"/>
    <w:semiHidden/>
    <w:unhideWhenUsed/>
    <w:rsid w:val="006941F8"/>
    <w:rPr>
      <w:vertAlign w:val="superscript"/>
    </w:rPr>
  </w:style>
  <w:style w:type="paragraph" w:styleId="af">
    <w:name w:val="No Spacing"/>
    <w:basedOn w:val="a"/>
    <w:link w:val="af0"/>
    <w:uiPriority w:val="1"/>
    <w:qFormat/>
    <w:rsid w:val="007A004C"/>
    <w:pPr>
      <w:jc w:val="both"/>
    </w:pPr>
    <w:rPr>
      <w:rFonts w:ascii="Calibri" w:eastAsia="Calibri" w:hAnsi="Calibri"/>
      <w:sz w:val="22"/>
      <w:szCs w:val="22"/>
    </w:rPr>
  </w:style>
  <w:style w:type="character" w:customStyle="1" w:styleId="af0">
    <w:name w:val="Без интервала Знак"/>
    <w:link w:val="af"/>
    <w:uiPriority w:val="1"/>
    <w:rsid w:val="007A004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9A3"/>
    <w:pPr>
      <w:ind w:left="720"/>
      <w:contextualSpacing/>
    </w:pPr>
  </w:style>
  <w:style w:type="paragraph" w:styleId="a4">
    <w:name w:val="header"/>
    <w:basedOn w:val="a"/>
    <w:link w:val="a5"/>
    <w:uiPriority w:val="99"/>
    <w:unhideWhenUsed/>
    <w:rsid w:val="001469E7"/>
    <w:pPr>
      <w:tabs>
        <w:tab w:val="center" w:pos="4677"/>
        <w:tab w:val="right" w:pos="9355"/>
      </w:tabs>
      <w:jc w:val="left"/>
    </w:pPr>
    <w:rPr>
      <w:rFonts w:asciiTheme="minorHAnsi" w:hAnsiTheme="minorHAnsi" w:cstheme="minorBidi"/>
      <w:sz w:val="22"/>
      <w:szCs w:val="22"/>
    </w:rPr>
  </w:style>
  <w:style w:type="character" w:customStyle="1" w:styleId="a5">
    <w:name w:val="Верхний колонтитул Знак"/>
    <w:basedOn w:val="a0"/>
    <w:link w:val="a4"/>
    <w:uiPriority w:val="99"/>
    <w:rsid w:val="001469E7"/>
    <w:rPr>
      <w:rFonts w:asciiTheme="minorHAnsi" w:hAnsiTheme="minorHAnsi" w:cstheme="minorBidi"/>
      <w:sz w:val="22"/>
      <w:szCs w:val="22"/>
    </w:rPr>
  </w:style>
  <w:style w:type="paragraph" w:styleId="a6">
    <w:name w:val="footer"/>
    <w:basedOn w:val="a"/>
    <w:link w:val="a7"/>
    <w:uiPriority w:val="99"/>
    <w:unhideWhenUsed/>
    <w:rsid w:val="0031351A"/>
    <w:pPr>
      <w:tabs>
        <w:tab w:val="center" w:pos="4677"/>
        <w:tab w:val="right" w:pos="9355"/>
      </w:tabs>
    </w:pPr>
  </w:style>
  <w:style w:type="character" w:customStyle="1" w:styleId="a7">
    <w:name w:val="Нижний колонтитул Знак"/>
    <w:basedOn w:val="a0"/>
    <w:link w:val="a6"/>
    <w:uiPriority w:val="99"/>
    <w:rsid w:val="0031351A"/>
  </w:style>
  <w:style w:type="paragraph" w:styleId="a8">
    <w:name w:val="Balloon Text"/>
    <w:basedOn w:val="a"/>
    <w:link w:val="a9"/>
    <w:uiPriority w:val="99"/>
    <w:semiHidden/>
    <w:unhideWhenUsed/>
    <w:rsid w:val="001F501B"/>
    <w:rPr>
      <w:rFonts w:ascii="Tahoma" w:hAnsi="Tahoma" w:cs="Tahoma"/>
      <w:sz w:val="16"/>
      <w:szCs w:val="16"/>
    </w:rPr>
  </w:style>
  <w:style w:type="character" w:customStyle="1" w:styleId="a9">
    <w:name w:val="Текст выноски Знак"/>
    <w:basedOn w:val="a0"/>
    <w:link w:val="a8"/>
    <w:uiPriority w:val="99"/>
    <w:semiHidden/>
    <w:rsid w:val="001F501B"/>
    <w:rPr>
      <w:rFonts w:ascii="Tahoma" w:hAnsi="Tahoma" w:cs="Tahoma"/>
      <w:sz w:val="16"/>
      <w:szCs w:val="16"/>
    </w:rPr>
  </w:style>
  <w:style w:type="paragraph" w:styleId="aa">
    <w:name w:val="Normal (Web)"/>
    <w:aliases w:val="Знак Знак3,Знак4 Знак Знак,Знак4,Обычный (Web),Знак4 Знак,Обычный (Web) Знак Знак Знак Знак,Обычный (Web) Знак Знак Знак Знак Знак Знак Знак Знак Знак,Обычный (Web) Знак Знак Знак Знак Знак,Обычный (Web)1, Знак4,Обычный (веб) Знак1,Знак4 З"/>
    <w:basedOn w:val="a"/>
    <w:link w:val="ab"/>
    <w:uiPriority w:val="99"/>
    <w:unhideWhenUsed/>
    <w:rsid w:val="00A5644A"/>
    <w:pPr>
      <w:spacing w:before="100" w:beforeAutospacing="1" w:after="100" w:afterAutospacing="1"/>
      <w:jc w:val="left"/>
    </w:pPr>
    <w:rPr>
      <w:rFonts w:eastAsia="Times New Roman"/>
      <w:sz w:val="24"/>
      <w:szCs w:val="24"/>
      <w:lang w:val="x-none" w:eastAsia="x-none"/>
    </w:rPr>
  </w:style>
  <w:style w:type="character" w:customStyle="1" w:styleId="ab">
    <w:name w:val="Обычный (веб) Знак"/>
    <w:aliases w:val="Знак Знак3 Знак,Знак4 Знак Знак Знак,Знак4 Знак1,Обычный (Web) Знак,Знак4 Знак Знак1,Обычный (Web) Знак Знак Знак Знак Знак1,Обычный (Web) Знак Знак Знак Знак Знак Знак Знак Знак Знак Знак,Обычный (Web) Знак Знак Знак Знак Знак Знак"/>
    <w:link w:val="aa"/>
    <w:uiPriority w:val="99"/>
    <w:locked/>
    <w:rsid w:val="00A5644A"/>
    <w:rPr>
      <w:rFonts w:eastAsia="Times New Roman"/>
      <w:sz w:val="24"/>
      <w:szCs w:val="24"/>
      <w:lang w:val="x-none" w:eastAsia="x-none"/>
    </w:rPr>
  </w:style>
  <w:style w:type="paragraph" w:styleId="ac">
    <w:name w:val="endnote text"/>
    <w:basedOn w:val="a"/>
    <w:link w:val="ad"/>
    <w:uiPriority w:val="99"/>
    <w:semiHidden/>
    <w:unhideWhenUsed/>
    <w:rsid w:val="006941F8"/>
    <w:rPr>
      <w:sz w:val="20"/>
      <w:szCs w:val="20"/>
    </w:rPr>
  </w:style>
  <w:style w:type="character" w:customStyle="1" w:styleId="ad">
    <w:name w:val="Текст концевой сноски Знак"/>
    <w:basedOn w:val="a0"/>
    <w:link w:val="ac"/>
    <w:uiPriority w:val="99"/>
    <w:semiHidden/>
    <w:rsid w:val="006941F8"/>
    <w:rPr>
      <w:sz w:val="20"/>
      <w:szCs w:val="20"/>
    </w:rPr>
  </w:style>
  <w:style w:type="character" w:styleId="ae">
    <w:name w:val="endnote reference"/>
    <w:basedOn w:val="a0"/>
    <w:uiPriority w:val="99"/>
    <w:semiHidden/>
    <w:unhideWhenUsed/>
    <w:rsid w:val="006941F8"/>
    <w:rPr>
      <w:vertAlign w:val="superscript"/>
    </w:rPr>
  </w:style>
  <w:style w:type="paragraph" w:styleId="af">
    <w:name w:val="No Spacing"/>
    <w:basedOn w:val="a"/>
    <w:link w:val="af0"/>
    <w:uiPriority w:val="1"/>
    <w:qFormat/>
    <w:rsid w:val="007A004C"/>
    <w:pPr>
      <w:jc w:val="both"/>
    </w:pPr>
    <w:rPr>
      <w:rFonts w:ascii="Calibri" w:eastAsia="Calibri" w:hAnsi="Calibri"/>
      <w:sz w:val="22"/>
      <w:szCs w:val="22"/>
    </w:rPr>
  </w:style>
  <w:style w:type="character" w:customStyle="1" w:styleId="af0">
    <w:name w:val="Без интервала Знак"/>
    <w:link w:val="af"/>
    <w:uiPriority w:val="1"/>
    <w:rsid w:val="007A004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1935">
      <w:bodyDiv w:val="1"/>
      <w:marLeft w:val="0"/>
      <w:marRight w:val="0"/>
      <w:marTop w:val="0"/>
      <w:marBottom w:val="0"/>
      <w:divBdr>
        <w:top w:val="none" w:sz="0" w:space="0" w:color="auto"/>
        <w:left w:val="none" w:sz="0" w:space="0" w:color="auto"/>
        <w:bottom w:val="none" w:sz="0" w:space="0" w:color="auto"/>
        <w:right w:val="none" w:sz="0" w:space="0" w:color="auto"/>
      </w:divBdr>
    </w:div>
    <w:div w:id="392236856">
      <w:bodyDiv w:val="1"/>
      <w:marLeft w:val="0"/>
      <w:marRight w:val="0"/>
      <w:marTop w:val="0"/>
      <w:marBottom w:val="0"/>
      <w:divBdr>
        <w:top w:val="none" w:sz="0" w:space="0" w:color="auto"/>
        <w:left w:val="none" w:sz="0" w:space="0" w:color="auto"/>
        <w:bottom w:val="none" w:sz="0" w:space="0" w:color="auto"/>
        <w:right w:val="none" w:sz="0" w:space="0" w:color="auto"/>
      </w:divBdr>
    </w:div>
    <w:div w:id="1048841672">
      <w:bodyDiv w:val="1"/>
      <w:marLeft w:val="0"/>
      <w:marRight w:val="0"/>
      <w:marTop w:val="0"/>
      <w:marBottom w:val="0"/>
      <w:divBdr>
        <w:top w:val="none" w:sz="0" w:space="0" w:color="auto"/>
        <w:left w:val="none" w:sz="0" w:space="0" w:color="auto"/>
        <w:bottom w:val="none" w:sz="0" w:space="0" w:color="auto"/>
        <w:right w:val="none" w:sz="0" w:space="0" w:color="auto"/>
      </w:divBdr>
    </w:div>
    <w:div w:id="1238131895">
      <w:bodyDiv w:val="1"/>
      <w:marLeft w:val="0"/>
      <w:marRight w:val="0"/>
      <w:marTop w:val="0"/>
      <w:marBottom w:val="0"/>
      <w:divBdr>
        <w:top w:val="none" w:sz="0" w:space="0" w:color="auto"/>
        <w:left w:val="none" w:sz="0" w:space="0" w:color="auto"/>
        <w:bottom w:val="none" w:sz="0" w:space="0" w:color="auto"/>
        <w:right w:val="none" w:sz="0" w:space="0" w:color="auto"/>
      </w:divBdr>
    </w:div>
    <w:div w:id="1626615614">
      <w:bodyDiv w:val="1"/>
      <w:marLeft w:val="0"/>
      <w:marRight w:val="0"/>
      <w:marTop w:val="0"/>
      <w:marBottom w:val="0"/>
      <w:divBdr>
        <w:top w:val="none" w:sz="0" w:space="0" w:color="auto"/>
        <w:left w:val="none" w:sz="0" w:space="0" w:color="auto"/>
        <w:bottom w:val="none" w:sz="0" w:space="0" w:color="auto"/>
        <w:right w:val="none" w:sz="0" w:space="0" w:color="auto"/>
      </w:divBdr>
    </w:div>
    <w:div w:id="21304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6E57-8A72-4F45-9912-64EC2F80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a_buhabaeva</dc:creator>
  <cp:lastModifiedBy>Елена Фоменко</cp:lastModifiedBy>
  <cp:revision>2</cp:revision>
  <cp:lastPrinted>2017-11-29T06:43:00Z</cp:lastPrinted>
  <dcterms:created xsi:type="dcterms:W3CDTF">2018-01-12T07:19:00Z</dcterms:created>
  <dcterms:modified xsi:type="dcterms:W3CDTF">2018-01-12T07:19:00Z</dcterms:modified>
</cp:coreProperties>
</file>