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B8" w:rsidRPr="00A75D66" w:rsidRDefault="001B40B8" w:rsidP="00A75D66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A75D66">
        <w:rPr>
          <w:rFonts w:ascii="Arial" w:hAnsi="Arial" w:cs="Arial"/>
          <w:b/>
          <w:sz w:val="20"/>
          <w:szCs w:val="20"/>
        </w:rPr>
        <w:t>Рекомендация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Коллегии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Евразийской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экономической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комиссии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№11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от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17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июля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2018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года</w:t>
      </w:r>
    </w:p>
    <w:p w:rsidR="00A75D66" w:rsidRPr="00A75D66" w:rsidRDefault="00A75D66" w:rsidP="00A75D66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1B40B8" w:rsidRPr="00A75D66" w:rsidRDefault="001B40B8" w:rsidP="00A75D66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A75D66">
        <w:rPr>
          <w:rFonts w:ascii="Arial" w:hAnsi="Arial" w:cs="Arial"/>
          <w:b/>
          <w:sz w:val="20"/>
          <w:szCs w:val="20"/>
        </w:rPr>
        <w:t>О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Руководстве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по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общим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вопросам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клинических</w:t>
      </w:r>
      <w:r w:rsidR="00A75D66">
        <w:rPr>
          <w:rFonts w:ascii="Arial" w:hAnsi="Arial" w:cs="Arial"/>
          <w:b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sz w:val="20"/>
          <w:szCs w:val="20"/>
        </w:rPr>
        <w:t>исследований</w:t>
      </w:r>
    </w:p>
    <w:p w:rsidR="00A75D66" w:rsidRDefault="00A75D66" w:rsidP="00A75D66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</w:p>
    <w:p w:rsidR="001B40B8" w:rsidRPr="00A75D66" w:rsidRDefault="001B40B8" w:rsidP="00A75D66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A75D66">
        <w:rPr>
          <w:rFonts w:ascii="Arial" w:hAnsi="Arial" w:cs="Arial"/>
          <w:sz w:val="20"/>
          <w:szCs w:val="20"/>
        </w:rPr>
        <w:t>Коллегия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Евразийской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экономической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комиссии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в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соответствии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статьей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30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Договора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Евразийском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экономическом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союзе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от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29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мая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2014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года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пунктом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3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статьи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3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Соглашения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единых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принципах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правилах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обращения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лекарственных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сре</w:t>
      </w:r>
      <w:proofErr w:type="gramStart"/>
      <w:r w:rsidRPr="00A75D66">
        <w:rPr>
          <w:rFonts w:ascii="Arial" w:hAnsi="Arial" w:cs="Arial"/>
          <w:sz w:val="20"/>
          <w:szCs w:val="20"/>
        </w:rPr>
        <w:t>дств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в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р</w:t>
      </w:r>
      <w:proofErr w:type="gramEnd"/>
      <w:r w:rsidRPr="00A75D66">
        <w:rPr>
          <w:rFonts w:ascii="Arial" w:hAnsi="Arial" w:cs="Arial"/>
          <w:sz w:val="20"/>
          <w:szCs w:val="20"/>
        </w:rPr>
        <w:t>амках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Евразийского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экономического</w:t>
      </w:r>
      <w:r w:rsidR="00A75D66">
        <w:rPr>
          <w:rFonts w:ascii="Arial" w:hAnsi="Arial" w:cs="Arial"/>
          <w:sz w:val="20"/>
          <w:szCs w:val="20"/>
        </w:rPr>
        <w:t xml:space="preserve"> союза от 23 декабря 2014 года,</w:t>
      </w:r>
    </w:p>
    <w:p w:rsidR="001B40B8" w:rsidRPr="00A75D66" w:rsidRDefault="001B40B8" w:rsidP="00A75D66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A75D66">
        <w:rPr>
          <w:rFonts w:ascii="Arial" w:hAnsi="Arial" w:cs="Arial"/>
          <w:sz w:val="20"/>
          <w:szCs w:val="20"/>
        </w:rPr>
        <w:t>в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целях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гармонизации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к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проведению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клинических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требований,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исследований,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предъявляемых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установленных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законодательством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государств-членов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Евразийского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экономического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союза,</w:t>
      </w:r>
    </w:p>
    <w:p w:rsidR="001B40B8" w:rsidRDefault="001B40B8" w:rsidP="00A75D66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A75D66">
        <w:rPr>
          <w:rFonts w:ascii="Arial" w:hAnsi="Arial" w:cs="Arial"/>
          <w:sz w:val="20"/>
          <w:szCs w:val="20"/>
        </w:rPr>
        <w:t>рекомендует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государствам-членам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Евразийского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экономического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союза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истечении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6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месяцев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даты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опубликования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настоящей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Рекомендации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на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официальном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сайте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Евразийского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экономического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союза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проведении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клинических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исследований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лекарственных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препаратов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для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их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регистрации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согласно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Правилам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регистрации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экспертизы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лекарственных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средств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для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медицинского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применения,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утвержденным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Решением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Совета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Евразийской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экономической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комиссии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от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3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ноября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2016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r.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№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78,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приведении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регистрационных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досье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лекарственных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препаратов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в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соответствие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</w:t>
      </w:r>
      <w:proofErr w:type="gramEnd"/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указанными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Правилами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применять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Руководство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общим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вопросам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клинических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исследований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согласно</w:t>
      </w:r>
      <w:r w:rsid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приложению.</w:t>
      </w:r>
    </w:p>
    <w:p w:rsidR="00A75D66" w:rsidRPr="00A75D66" w:rsidRDefault="00A75D66" w:rsidP="00A75D66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</w:p>
    <w:p w:rsidR="001B40B8" w:rsidRPr="00A75D66" w:rsidRDefault="001B40B8" w:rsidP="00A75D66">
      <w:pPr>
        <w:pStyle w:val="a8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A75D66">
        <w:rPr>
          <w:rFonts w:ascii="Arial" w:hAnsi="Arial" w:cs="Arial"/>
          <w:b/>
          <w:i/>
          <w:sz w:val="20"/>
          <w:szCs w:val="20"/>
        </w:rPr>
        <w:t>Председатель</w:t>
      </w:r>
      <w:r w:rsidR="00A75D66" w:rsidRPr="00A75D66">
        <w:rPr>
          <w:rFonts w:ascii="Arial" w:hAnsi="Arial" w:cs="Arial"/>
          <w:b/>
          <w:i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i/>
          <w:sz w:val="20"/>
          <w:szCs w:val="20"/>
        </w:rPr>
        <w:t>Коллегии</w:t>
      </w:r>
    </w:p>
    <w:p w:rsidR="001B40B8" w:rsidRPr="00A75D66" w:rsidRDefault="001B40B8" w:rsidP="00A75D66">
      <w:pPr>
        <w:pStyle w:val="a8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A75D66">
        <w:rPr>
          <w:rFonts w:ascii="Arial" w:hAnsi="Arial" w:cs="Arial"/>
          <w:b/>
          <w:i/>
          <w:sz w:val="20"/>
          <w:szCs w:val="20"/>
        </w:rPr>
        <w:t>Евразийской</w:t>
      </w:r>
      <w:r w:rsidR="00A75D66" w:rsidRPr="00A75D66">
        <w:rPr>
          <w:rFonts w:ascii="Arial" w:hAnsi="Arial" w:cs="Arial"/>
          <w:b/>
          <w:i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i/>
          <w:sz w:val="20"/>
          <w:szCs w:val="20"/>
        </w:rPr>
        <w:t>экономической</w:t>
      </w:r>
      <w:r w:rsidR="00A75D66" w:rsidRPr="00A75D66">
        <w:rPr>
          <w:rFonts w:ascii="Arial" w:hAnsi="Arial" w:cs="Arial"/>
          <w:b/>
          <w:i/>
          <w:sz w:val="20"/>
          <w:szCs w:val="20"/>
        </w:rPr>
        <w:t xml:space="preserve"> </w:t>
      </w:r>
      <w:r w:rsidRPr="00A75D66">
        <w:rPr>
          <w:rFonts w:ascii="Arial" w:hAnsi="Arial" w:cs="Arial"/>
          <w:b/>
          <w:i/>
          <w:sz w:val="20"/>
          <w:szCs w:val="20"/>
        </w:rPr>
        <w:t>комиссии</w:t>
      </w:r>
      <w:r w:rsidR="00A75D66" w:rsidRPr="00A75D66">
        <w:rPr>
          <w:rFonts w:ascii="Arial" w:hAnsi="Arial" w:cs="Arial"/>
          <w:b/>
          <w:i/>
          <w:sz w:val="20"/>
          <w:szCs w:val="20"/>
        </w:rPr>
        <w:t xml:space="preserve"> </w:t>
      </w:r>
      <w:r w:rsidR="00A75D66">
        <w:rPr>
          <w:rFonts w:ascii="Arial" w:hAnsi="Arial" w:cs="Arial"/>
          <w:b/>
          <w:i/>
          <w:sz w:val="20"/>
          <w:szCs w:val="20"/>
        </w:rPr>
        <w:t xml:space="preserve">               </w:t>
      </w:r>
      <w:r w:rsidRPr="00A75D66">
        <w:rPr>
          <w:rFonts w:ascii="Arial" w:hAnsi="Arial" w:cs="Arial"/>
          <w:b/>
          <w:i/>
          <w:sz w:val="20"/>
          <w:szCs w:val="20"/>
        </w:rPr>
        <w:t>Т.</w:t>
      </w:r>
      <w:r w:rsidR="00A75D66" w:rsidRPr="00A75D66">
        <w:rPr>
          <w:rFonts w:ascii="Arial" w:hAnsi="Arial" w:cs="Arial"/>
          <w:b/>
          <w:i/>
          <w:sz w:val="20"/>
          <w:szCs w:val="20"/>
        </w:rPr>
        <w:t xml:space="preserve"> Саркисян</w:t>
      </w:r>
    </w:p>
    <w:p w:rsidR="00A75D66" w:rsidRPr="00A75D66" w:rsidRDefault="00A75D66" w:rsidP="00A75D66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</w:p>
    <w:p w:rsidR="001B40B8" w:rsidRPr="001B40B8" w:rsidRDefault="001B40B8" w:rsidP="001B4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№11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исследований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радиотерапии,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лечения).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исследований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практики),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Хельсинкской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ассамблее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1964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89.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появляющихся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(независимого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дизайну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анализу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(экспериментальных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спланировать,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исчерпывающими).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3083"/>
        <w:gridCol w:w="3512"/>
      </w:tblGrid>
      <w:tr w:rsidR="001B40B8" w:rsidRPr="001B40B8" w:rsidTr="00110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B8" w:rsidRPr="001B40B8" w:rsidRDefault="00A75D66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:rsidR="001B40B8" w:rsidRPr="001B40B8" w:rsidRDefault="00A75D66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:rsidR="001B40B8" w:rsidRPr="001B40B8" w:rsidRDefault="00A75D66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1B40B8" w:rsidRPr="001B40B8" w:rsidTr="00110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B8" w:rsidRPr="001B40B8" w:rsidRDefault="00A75D66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</w:t>
            </w:r>
          </w:p>
        </w:tc>
        <w:tc>
          <w:tcPr>
            <w:tcW w:w="0" w:type="auto"/>
            <w:vAlign w:val="center"/>
            <w:hideMark/>
          </w:tcPr>
          <w:p w:rsidR="001B40B8" w:rsidRPr="001B40B8" w:rsidRDefault="00A75D66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переносимости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(описание)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метаболизма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взаимодействий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</w:p>
        </w:tc>
        <w:tc>
          <w:tcPr>
            <w:tcW w:w="0" w:type="auto"/>
            <w:vAlign w:val="center"/>
            <w:hideMark/>
          </w:tcPr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переносимости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однократном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многократном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введении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взаимодействий</w:t>
            </w:r>
          </w:p>
        </w:tc>
      </w:tr>
      <w:tr w:rsidR="001B40B8" w:rsidRPr="001B40B8" w:rsidTr="00110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B8" w:rsidRPr="001B40B8" w:rsidRDefault="00A75D66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целевому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показанию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применению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дозы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дизайна,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0" w:type="auto"/>
            <w:vAlign w:val="center"/>
            <w:hideMark/>
          </w:tcPr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короткой</w:t>
            </w:r>
            <w:proofErr w:type="gramEnd"/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заданной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суррогатных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фармакологических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«доза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ффект»</w:t>
            </w:r>
          </w:p>
        </w:tc>
      </w:tr>
      <w:tr w:rsidR="001B40B8" w:rsidRPr="001B40B8" w:rsidTr="00110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B8" w:rsidRPr="001B40B8" w:rsidRDefault="00A75D66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1B40B8" w:rsidRPr="001B40B8" w:rsidRDefault="00A75D66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(доказательство)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польза-риск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«доза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ффект»</w:t>
            </w:r>
          </w:p>
        </w:tc>
        <w:tc>
          <w:tcPr>
            <w:tcW w:w="0" w:type="auto"/>
            <w:vAlign w:val="center"/>
            <w:hideMark/>
          </w:tcPr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Адекватные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Рандомизированные</w:t>
            </w:r>
            <w:proofErr w:type="spellEnd"/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«доза-эффект»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клинической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(смертности)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«простые»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</w:tr>
      <w:tr w:rsidR="001B40B8" w:rsidRPr="001B40B8" w:rsidTr="00110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B8" w:rsidRPr="001B40B8" w:rsidRDefault="00A75D66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0" w:type="auto"/>
            <w:vAlign w:val="center"/>
            <w:hideMark/>
          </w:tcPr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уточнения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целом,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нежелательных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реакций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дозирования</w:t>
            </w:r>
          </w:p>
        </w:tc>
        <w:tc>
          <w:tcPr>
            <w:tcW w:w="0" w:type="auto"/>
            <w:vAlign w:val="center"/>
            <w:hideMark/>
          </w:tcPr>
          <w:p w:rsidR="001B40B8" w:rsidRPr="001B40B8" w:rsidRDefault="00A75D66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B8"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сравнительной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смертности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«простые»</w:t>
            </w:r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  <w:p w:rsidR="001B40B8" w:rsidRPr="001B40B8" w:rsidRDefault="001B40B8" w:rsidP="001B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Фармакоэкономические</w:t>
            </w:r>
            <w:proofErr w:type="spellEnd"/>
            <w:r w:rsidR="00A7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</w:tr>
    </w:tbl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человека).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подходы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планированию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компонентов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исследований.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Доклинические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полувыведения,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препараты);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являющееся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детородным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потенциалом);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(токсикологических,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фармакокинетических)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Фармакологические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фармакокинетические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(механизм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действия);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эффект»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«концентрация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эффект»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выведения.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исследуемых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препаратов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биодоступности</w:t>
      </w:r>
      <w:proofErr w:type="spellEnd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биоэквивалентности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«фаза»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необязательным.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рисунке.</w:t>
      </w:r>
    </w:p>
    <w:p w:rsidR="001B40B8" w:rsidRPr="001B40B8" w:rsidRDefault="00A75D66" w:rsidP="001B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BD1EDD" wp14:editId="2455EDA3">
            <wp:extent cx="5715000" cy="2336800"/>
            <wp:effectExtent l="0" t="0" r="0" b="6350"/>
            <wp:docPr id="1" name="Рисунок 1" descr="rekomend eaes 18 07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komend eaes 18 07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*На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матричном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Закрашенными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незакрашенными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отходит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пунктирная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соединяющаяся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столбиком,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эффект».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(наиболее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типичный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фармакологических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участием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человека.</w:t>
      </w:r>
      <w:proofErr w:type="gramEnd"/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добровольцев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гипертензией).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высокотоксичные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цитотоксичные</w:t>
      </w:r>
      <w:proofErr w:type="spellEnd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надежностирезультатов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рандомизированными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переносимости.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переносимости.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клиренса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фазах.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биодоступность</w:t>
      </w:r>
      <w:proofErr w:type="spellEnd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недостаточностью,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«концентрация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эффект»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(фармакокинетические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добровольцев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заболеванием.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уместны,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измерению.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(наиболее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типичный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поисковое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терапевтическое)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Инициация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терапевтической</w:t>
      </w:r>
      <w:r w:rsidR="00E4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значениями.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рандомизированные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тщательному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наблюдению.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эффект»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дизайны,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эскалацию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эффект»,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эффект»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изучаемому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эффект»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подмножества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(наиболее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типичный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подтверждающее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терапевтическое)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Инициация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пользы,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безопасен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исследуемому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показанию.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«доза-эффект»,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proofErr w:type="gramStart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(пожилые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пациенты),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препарате).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(различные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терапевтическое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применение.</w:t>
      </w:r>
      <w:proofErr w:type="gramEnd"/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мониторинга),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52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52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эффект»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одобренному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исследования).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зарегистрированного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новому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применению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отсутствовать.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метаболитов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(пожилые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пациенты),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экскрецию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препараты.</w:t>
      </w:r>
      <w:proofErr w:type="gramEnd"/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популяции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понадобиться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(пожилые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пациенты),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аспектам,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обеспечивающим: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отмены).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кормящих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грудью.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экстраполяции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препаратов).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младенцев.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препаратов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11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перекрестный,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факторный,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эскалация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эффект»)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биостатистики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  <w:proofErr w:type="gramEnd"/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биостатистики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прекратившими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добровольцы,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добровольцев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популяцию.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возникнуть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стационаре.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детородным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потенциалом,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доклиническим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препаратов).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потомства.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мутагенных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контрацепции.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контрольной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плацебо,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биостатистики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(внешний)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вариабельностью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(малой)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биостатистики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исследованиях),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точками.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proofErr w:type="gramStart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(пожилые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Переменные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ответа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обсчета.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биостатистики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Суррогатная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ассоциирована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исходом,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пользы.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суррогатные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исхода).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валидированы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прецизионности</w:t>
      </w:r>
      <w:proofErr w:type="spellEnd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воспроизводимости</w:t>
      </w:r>
      <w:proofErr w:type="spellEnd"/>
      <w:proofErr w:type="gramStart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(чувствительности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времени).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выявления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систематических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ошибок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(субъективности)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биостатистики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ослепления: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рандомизация.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рандомизированное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необъективных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плацебо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маскировки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слепым.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слепым;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тестируемую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общепризнанным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биостатистики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биостатистики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биостатистики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  <w:proofErr w:type="gramEnd"/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Клинический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экспозиции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популяции,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необходимой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предназначенных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длительного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лечения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угрожающих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</w:t>
      </w:r>
      <w:r w:rsidR="00A75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состояний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(постоянного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(накопительная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3-месячная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1%).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пациентов).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препаратом.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Плацебо-контролируемые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факторы: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гармонизированного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(несмотря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исключения);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егуляторные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аспектах;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неполными,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препаратом.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предполагаемому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клиническому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5%).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proofErr w:type="gramStart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аспектами.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пациентах,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проспективных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кумулятивная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3%);</w:t>
      </w:r>
      <w:proofErr w:type="gramEnd"/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1500.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500-1500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пострегистрационному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наблюдению,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</w:t>
      </w:r>
      <w:bookmarkStart w:id="0" w:name="_GoBack"/>
      <w:bookmarkEnd w:id="0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гармонизированные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неприменимы.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рекомендациях.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гармонизированного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"а"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примеры):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ходе: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частотой;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вызывающей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обеспокоенность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органов);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условий: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симптоматическое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(несущественных)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состояний);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пролеченных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лицам);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суррогатным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точкам);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морбидность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(заболеваемость)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приводящих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статистическую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морбидности</w:t>
      </w:r>
      <w:proofErr w:type="spellEnd"/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(заболеваемости)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показателями;</w:t>
      </w:r>
    </w:p>
    <w:p w:rsidR="001B40B8" w:rsidRPr="001B40B8" w:rsidRDefault="001B40B8" w:rsidP="001B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меньшего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A7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пациентов.</w:t>
      </w:r>
    </w:p>
    <w:p w:rsidR="00302A17" w:rsidRDefault="00302A17"/>
    <w:sectPr w:rsidR="0030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74D"/>
    <w:multiLevelType w:val="multilevel"/>
    <w:tmpl w:val="713A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D1CCB"/>
    <w:multiLevelType w:val="multilevel"/>
    <w:tmpl w:val="A55E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B8"/>
    <w:rsid w:val="001100B3"/>
    <w:rsid w:val="001B40B8"/>
    <w:rsid w:val="00302A17"/>
    <w:rsid w:val="0052414B"/>
    <w:rsid w:val="00A75D66"/>
    <w:rsid w:val="00E4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B40B8"/>
  </w:style>
  <w:style w:type="character" w:styleId="a3">
    <w:name w:val="Hyperlink"/>
    <w:basedOn w:val="a0"/>
    <w:uiPriority w:val="99"/>
    <w:semiHidden/>
    <w:unhideWhenUsed/>
    <w:rsid w:val="001B40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40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0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4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B40B8"/>
  </w:style>
  <w:style w:type="character" w:styleId="a3">
    <w:name w:val="Hyperlink"/>
    <w:basedOn w:val="a0"/>
    <w:uiPriority w:val="99"/>
    <w:semiHidden/>
    <w:unhideWhenUsed/>
    <w:rsid w:val="001B40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40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0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4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7479</Words>
  <Characters>42634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5</cp:revision>
  <dcterms:created xsi:type="dcterms:W3CDTF">2018-07-24T06:09:00Z</dcterms:created>
  <dcterms:modified xsi:type="dcterms:W3CDTF">2018-07-24T07:59:00Z</dcterms:modified>
</cp:coreProperties>
</file>