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A1FFD">
      <w:pPr>
        <w:pStyle w:val="pc"/>
      </w:pPr>
      <w:bookmarkStart w:id="0" w:name="_GoBack"/>
      <w:bookmarkEnd w:id="0"/>
      <w:r>
        <w:rPr>
          <w:rStyle w:val="s1"/>
        </w:rPr>
        <w:t>Рекомендация Коллегии Евразийской экономической комиссии от 11 февраля 2025 года № 2</w:t>
      </w:r>
      <w:r>
        <w:rPr>
          <w:rStyle w:val="s1"/>
        </w:rPr>
        <w:br/>
        <w:t>О внесении изменений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</w:t>
      </w:r>
      <w:r>
        <w:rPr>
          <w:rStyle w:val="s1"/>
        </w:rPr>
        <w:t>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  <w:r>
        <w:rPr>
          <w:rStyle w:val="s1"/>
        </w:rPr>
        <w:br/>
        <w:t>(г. Москва)</w:t>
      </w:r>
    </w:p>
    <w:p w:rsidR="00000000" w:rsidRDefault="005A1FFD">
      <w:pPr>
        <w:pStyle w:val="pj"/>
      </w:pPr>
      <w:r>
        <w:rPr>
          <w:rStyle w:val="s0"/>
        </w:rPr>
        <w:t> </w:t>
      </w:r>
    </w:p>
    <w:p w:rsidR="00000000" w:rsidRDefault="005A1FFD">
      <w:pPr>
        <w:pStyle w:val="pj"/>
      </w:pPr>
      <w:r>
        <w:rPr>
          <w:rStyle w:val="s0"/>
        </w:rPr>
        <w:t xml:space="preserve">Коллегия Евразийской экономической комиссии на основании </w:t>
      </w:r>
      <w:hyperlink r:id="rId7" w:anchor="sub_id=30200" w:history="1">
        <w:r>
          <w:rPr>
            <w:rStyle w:val="a4"/>
          </w:rPr>
          <w:t>пункта 2 статьи 3,</w:t>
        </w:r>
      </w:hyperlink>
      <w:r>
        <w:rPr>
          <w:rStyle w:val="s0"/>
        </w:rPr>
        <w:t xml:space="preserve"> </w:t>
      </w:r>
      <w:hyperlink r:id="rId8" w:anchor="sub_id=40400" w:history="1">
        <w:r>
          <w:rPr>
            <w:rStyle w:val="a4"/>
          </w:rPr>
          <w:t>пункта 4 статьи 4</w:t>
        </w:r>
      </w:hyperlink>
      <w:r>
        <w:rPr>
          <w:rStyle w:val="s0"/>
        </w:rPr>
        <w:t xml:space="preserve"> и </w:t>
      </w:r>
      <w:hyperlink r:id="rId9" w:anchor="sub_id=70400" w:history="1">
        <w:r>
          <w:rPr>
            <w:rStyle w:val="a4"/>
          </w:rPr>
          <w:t>пункта 4 статьи 7</w:t>
        </w:r>
      </w:hyperlink>
      <w:r>
        <w:rPr>
          <w:rStyle w:val="s0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</w:t>
      </w:r>
      <w:r>
        <w:rPr>
          <w:rStyle w:val="s0"/>
        </w:rPr>
        <w:t xml:space="preserve">твии с </w:t>
      </w:r>
      <w:hyperlink r:id="rId10" w:anchor="sub_id=11000" w:history="1">
        <w:r>
          <w:rPr>
            <w:rStyle w:val="a4"/>
          </w:rPr>
          <w:t>пунктом 110</w:t>
        </w:r>
      </w:hyperlink>
      <w:r>
        <w:rPr>
          <w:rStyle w:val="s0"/>
        </w:rPr>
        <w:t xml:space="preserve">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</w:t>
      </w:r>
      <w:r>
        <w:rPr>
          <w:rStyle w:val="s0"/>
        </w:rPr>
        <w:t>м Совета Евразийской экономической комиссии от 12 февраля 2016 г. № 27,</w:t>
      </w:r>
    </w:p>
    <w:p w:rsidR="00000000" w:rsidRDefault="005A1FFD">
      <w:pPr>
        <w:pStyle w:val="pj"/>
      </w:pPr>
      <w:r>
        <w:rPr>
          <w:rStyle w:val="s0"/>
          <w:b/>
          <w:bCs/>
        </w:rPr>
        <w:t>рекомендует</w:t>
      </w:r>
      <w:r>
        <w:rPr>
          <w:rStyle w:val="s0"/>
        </w:rPr>
        <w:t xml:space="preserve"> государствам - членам Евразийского экономического союза по истечении 30 рабочих дней с даты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н</w:t>
      </w:r>
      <w:r>
        <w:rPr>
          <w:rStyle w:val="s0"/>
        </w:rPr>
        <w:t xml:space="preserve">астоящей Рекомендации на официальном сайте Евразийского экономического союза применять </w:t>
      </w:r>
      <w:hyperlink r:id="rId12" w:anchor="sub_id=1" w:history="1">
        <w:r>
          <w:rPr>
            <w:rStyle w:val="a4"/>
          </w:rPr>
          <w:t>перечень стандартов</w:t>
        </w:r>
      </w:hyperlink>
      <w:r>
        <w:rPr>
          <w:rStyle w:val="s0"/>
        </w:rPr>
        <w:t xml:space="preserve">, в результате применения которых на добровольной основе полностью или </w:t>
      </w:r>
      <w:r>
        <w:rPr>
          <w:rStyle w:val="s0"/>
        </w:rPr>
        <w:t>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 (приложение к Рекомендации Коллегии Евразийской эконо</w:t>
      </w:r>
      <w:r>
        <w:rPr>
          <w:rStyle w:val="s0"/>
        </w:rPr>
        <w:t xml:space="preserve">мической комиссии от 4 сентября 2017 г. № 17), с учетом изменений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>.</w:t>
      </w:r>
    </w:p>
    <w:p w:rsidR="00000000" w:rsidRDefault="005A1FFD">
      <w:pPr>
        <w:pStyle w:val="pj"/>
      </w:pPr>
      <w:r>
        <w:rPr>
          <w:rStyle w:val="s0"/>
        </w:rPr>
        <w:t> </w:t>
      </w:r>
    </w:p>
    <w:p w:rsidR="00000000" w:rsidRDefault="005A1FF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7"/>
        <w:gridCol w:w="3964"/>
      </w:tblGrid>
      <w:tr w:rsidR="00000000">
        <w:trPr>
          <w:jc w:val="center"/>
        </w:trPr>
        <w:tc>
          <w:tcPr>
            <w:tcW w:w="2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  <w:b/>
                <w:bCs/>
              </w:rPr>
              <w:t>Председатель Коллегии</w:t>
            </w:r>
          </w:p>
          <w:p w:rsidR="00000000" w:rsidRDefault="005A1FFD">
            <w:pPr>
              <w:pStyle w:val="p"/>
            </w:pPr>
            <w:r>
              <w:rPr>
                <w:rStyle w:val="s0"/>
                <w:b/>
                <w:bCs/>
              </w:rPr>
              <w:t>Евразийской экономической комиссии</w:t>
            </w:r>
          </w:p>
        </w:tc>
        <w:tc>
          <w:tcPr>
            <w:tcW w:w="2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A1FFD">
            <w:pPr>
              <w:pStyle w:val="pr"/>
            </w:pPr>
            <w:r>
              <w:rPr>
                <w:rStyle w:val="s0"/>
                <w:b/>
                <w:bCs/>
              </w:rPr>
              <w:t>Б. Сагинтаев</w:t>
            </w:r>
          </w:p>
        </w:tc>
      </w:tr>
    </w:tbl>
    <w:p w:rsidR="00000000" w:rsidRDefault="005A1FFD">
      <w:pPr>
        <w:pStyle w:val="p"/>
      </w:pPr>
      <w:r>
        <w:rPr>
          <w:snapToGrid w:val="0"/>
          <w:sz w:val="2"/>
          <w:szCs w:val="2"/>
        </w:rPr>
        <w:t> </w:t>
      </w:r>
    </w:p>
    <w:p w:rsidR="00000000" w:rsidRDefault="005A1FFD">
      <w:pPr>
        <w:pStyle w:val="p"/>
      </w:pPr>
      <w:r>
        <w:rPr>
          <w:snapToGrid w:val="0"/>
          <w:sz w:val="2"/>
          <w:szCs w:val="2"/>
        </w:rPr>
        <w:t> </w:t>
      </w:r>
    </w:p>
    <w:p w:rsidR="00000000" w:rsidRDefault="005A1FFD">
      <w:pPr>
        <w:pStyle w:val="p"/>
      </w:pPr>
      <w:r>
        <w:rPr>
          <w:snapToGrid w:val="0"/>
          <w:sz w:val="2"/>
          <w:szCs w:val="2"/>
        </w:rPr>
        <w:t> </w:t>
      </w:r>
    </w:p>
    <w:p w:rsidR="00000000" w:rsidRDefault="005A1FFD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5A1FFD">
      <w:pPr>
        <w:pStyle w:val="pr"/>
      </w:pPr>
      <w:r>
        <w:rPr>
          <w:rStyle w:val="s0"/>
        </w:rPr>
        <w:t>ПРИЛОЖЕНИЕ</w:t>
      </w:r>
    </w:p>
    <w:p w:rsidR="00000000" w:rsidRDefault="005A1FFD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Рекомендации</w:t>
        </w:r>
      </w:hyperlink>
      <w:r>
        <w:rPr>
          <w:rStyle w:val="s0"/>
        </w:rPr>
        <w:t xml:space="preserve"> </w:t>
      </w:r>
      <w:r>
        <w:rPr>
          <w:rStyle w:val="s0"/>
        </w:rPr>
        <w:t>Коллегии</w:t>
      </w:r>
    </w:p>
    <w:p w:rsidR="00000000" w:rsidRDefault="005A1FFD">
      <w:pPr>
        <w:pStyle w:val="pr"/>
      </w:pPr>
      <w:r>
        <w:rPr>
          <w:rStyle w:val="s0"/>
        </w:rPr>
        <w:t>Евразийской экономической комиссии</w:t>
      </w:r>
    </w:p>
    <w:p w:rsidR="00000000" w:rsidRDefault="005A1FFD">
      <w:pPr>
        <w:pStyle w:val="pr"/>
      </w:pPr>
      <w:r>
        <w:rPr>
          <w:rStyle w:val="s0"/>
        </w:rPr>
        <w:t>от 11 февраля 2025 г. № 2</w:t>
      </w:r>
    </w:p>
    <w:p w:rsidR="00000000" w:rsidRDefault="005A1FFD">
      <w:pPr>
        <w:pStyle w:val="pr"/>
      </w:pPr>
      <w:r>
        <w:rPr>
          <w:rStyle w:val="s0"/>
        </w:rPr>
        <w:t> </w:t>
      </w:r>
    </w:p>
    <w:p w:rsidR="00000000" w:rsidRDefault="005A1FFD">
      <w:pPr>
        <w:pStyle w:val="pr"/>
      </w:pPr>
      <w:r>
        <w:rPr>
          <w:rStyle w:val="s0"/>
        </w:rPr>
        <w:t> </w:t>
      </w:r>
    </w:p>
    <w:p w:rsidR="00000000" w:rsidRDefault="005A1FFD">
      <w:pPr>
        <w:pStyle w:val="pc"/>
      </w:pPr>
      <w:r>
        <w:rPr>
          <w:rStyle w:val="s1"/>
        </w:rPr>
        <w:t>ИЗМЕНЕНИЯ,</w:t>
      </w:r>
      <w:r>
        <w:rPr>
          <w:rStyle w:val="s1"/>
        </w:rPr>
        <w:br/>
        <w:t>вносимые в перечень стандартов, в результате применения которых на добровольной основе</w:t>
      </w:r>
      <w:r>
        <w:rPr>
          <w:rStyle w:val="s1"/>
        </w:rPr>
        <w:br/>
        <w:t>полностью или частично обеспечивается соблюдение соответствия медицинских изделий</w:t>
      </w:r>
      <w:r>
        <w:rPr>
          <w:rStyle w:val="s1"/>
        </w:rPr>
        <w:br/>
      </w:r>
      <w:r>
        <w:rPr>
          <w:rStyle w:val="s1"/>
        </w:rPr>
        <w:t>Общим требованиям безопасности и эффективности медицинских изделий,</w:t>
      </w:r>
      <w:r>
        <w:rPr>
          <w:rStyle w:val="s1"/>
        </w:rPr>
        <w:br/>
        <w:t>требованиям к их маркировке и эксплуатационной документации на них</w:t>
      </w:r>
    </w:p>
    <w:p w:rsidR="00000000" w:rsidRDefault="005A1FFD">
      <w:pPr>
        <w:pStyle w:val="pj"/>
      </w:pPr>
      <w:r>
        <w:rPr>
          <w:rStyle w:val="s0"/>
        </w:rPr>
        <w:t> </w:t>
      </w:r>
    </w:p>
    <w:p w:rsidR="00000000" w:rsidRDefault="005A1FFD">
      <w:pPr>
        <w:pStyle w:val="pj"/>
      </w:pPr>
      <w:r>
        <w:rPr>
          <w:rStyle w:val="s0"/>
        </w:rPr>
        <w:t>1. В разделе I позиции 79, 83 и 139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235"/>
        <w:gridCol w:w="2235"/>
        <w:gridCol w:w="1296"/>
        <w:gridCol w:w="979"/>
        <w:gridCol w:w="1656"/>
        <w:gridCol w:w="594"/>
      </w:tblGrid>
      <w:tr w:rsidR="00000000">
        <w:trPr>
          <w:trHeight w:val="711"/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79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ГОСТ Р ИСО 14155-2022</w:t>
            </w:r>
          </w:p>
          <w:p w:rsidR="00000000" w:rsidRDefault="005A1FFD">
            <w:pPr>
              <w:pStyle w:val="p"/>
            </w:pPr>
            <w:r>
              <w:rPr>
                <w:rStyle w:val="s0"/>
              </w:rPr>
              <w:t>(ISO 14155:2020, IDT)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Клинические исследования медицинских изделий, проводимые с участием человека в качестве субъекта. Надлежащая клиническая практика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31.03.2025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4 - 10, приложения А, Н, I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trHeight w:val="711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4 - 10, приложения А, Н, 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trHeight w:val="104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4 - 10, приложения А, Н, 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trHeight w:val="351"/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83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ГОСТ Р ИСО 15223-1-2023 (ISO 15223-1:2021, IDT)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31.03.2025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11</w:t>
            </w:r>
          </w:p>
        </w:tc>
      </w:tr>
      <w:tr w:rsidR="00000000">
        <w:trPr>
          <w:trHeight w:val="5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5.1 - 5.4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58</w:t>
            </w:r>
          </w:p>
        </w:tc>
      </w:tr>
      <w:tr w:rsidR="00000000">
        <w:trPr>
          <w:trHeight w:val="121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5.2.7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trHeight w:val="279"/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139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ГОСТ Р МЭК 62366-1-2023 (IEC 62366-1:2020, IDT)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Изделия медицинские. Часть 1. Проектирование медицинских изделий с учетом эксплуатационной пригодности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31.03.2025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28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32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33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52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53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54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56</w:t>
            </w:r>
          </w:p>
        </w:tc>
      </w:tr>
      <w:tr w:rsidR="00000000">
        <w:trPr>
          <w:trHeight w:val="27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57</w:t>
            </w:r>
          </w:p>
        </w:tc>
      </w:tr>
    </w:tbl>
    <w:p w:rsidR="00000000" w:rsidRDefault="005A1FFD">
      <w:pPr>
        <w:pStyle w:val="pj"/>
      </w:pPr>
      <w:r>
        <w:rPr>
          <w:rStyle w:val="s0"/>
        </w:rPr>
        <w:t> </w:t>
      </w:r>
    </w:p>
    <w:p w:rsidR="00000000" w:rsidRDefault="005A1FFD">
      <w:pPr>
        <w:pStyle w:val="pj"/>
      </w:pPr>
      <w:r>
        <w:rPr>
          <w:rStyle w:val="s0"/>
        </w:rPr>
        <w:t>2. В разделе II позиции 32 и 42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237"/>
        <w:gridCol w:w="2265"/>
        <w:gridCol w:w="1296"/>
        <w:gridCol w:w="1009"/>
        <w:gridCol w:w="1685"/>
        <w:gridCol w:w="623"/>
      </w:tblGrid>
      <w:tr w:rsidR="00000000">
        <w:trPr>
          <w:trHeight w:val="801"/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32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ГОСТ Р ИСО 15223-1-2023 (ISO 15223-1:2021, IDT)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31.03.2025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11</w:t>
            </w:r>
          </w:p>
        </w:tc>
      </w:tr>
      <w:tr w:rsidR="00000000">
        <w:trPr>
          <w:trHeight w:val="59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5.1 - 5.5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105</w:t>
            </w:r>
          </w:p>
        </w:tc>
      </w:tr>
      <w:tr w:rsidR="00000000">
        <w:trPr>
          <w:trHeight w:val="289"/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42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ГОСТ Р МЭК 62366-1-2023 (IEC 62366-1:2020, IDT)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Изделия медицинские.</w:t>
            </w:r>
          </w:p>
          <w:p w:rsidR="00000000" w:rsidRDefault="005A1FFD">
            <w:pPr>
              <w:pStyle w:val="p"/>
            </w:pPr>
            <w:r>
              <w:rPr>
                <w:rStyle w:val="s0"/>
              </w:rPr>
              <w:t>Часть 1. Проектирование медицинских изделий с учетом эксплуатационной пригодности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31.03.2025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69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70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71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72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82</w:t>
            </w:r>
          </w:p>
        </w:tc>
      </w:tr>
      <w:tr w:rsidR="00000000">
        <w:trPr>
          <w:trHeight w:val="289"/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 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 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87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102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103</w:t>
            </w:r>
          </w:p>
        </w:tc>
      </w:tr>
      <w:tr w:rsidR="00000000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A1FFD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4 - 5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A1FFD">
            <w:pPr>
              <w:pStyle w:val="pc"/>
            </w:pPr>
            <w:r>
              <w:rPr>
                <w:rStyle w:val="s0"/>
              </w:rPr>
              <w:t>104</w:t>
            </w:r>
          </w:p>
        </w:tc>
      </w:tr>
    </w:tbl>
    <w:p w:rsidR="00000000" w:rsidRDefault="005A1FFD">
      <w:pPr>
        <w:pStyle w:val="pji"/>
      </w:pPr>
      <w:r>
        <w:rPr>
          <w:sz w:val="28"/>
          <w:szCs w:val="28"/>
        </w:rPr>
        <w:t> </w:t>
      </w:r>
    </w:p>
    <w:p w:rsidR="00000000" w:rsidRDefault="005A1FFD">
      <w:pPr>
        <w:pStyle w:val="pj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FFD" w:rsidRDefault="005A1FFD" w:rsidP="005A1FFD">
      <w:r>
        <w:separator/>
      </w:r>
    </w:p>
  </w:endnote>
  <w:endnote w:type="continuationSeparator" w:id="0">
    <w:p w:rsidR="005A1FFD" w:rsidRDefault="005A1FFD" w:rsidP="005A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FD" w:rsidRDefault="005A1FF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FD" w:rsidRDefault="005A1FF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FD" w:rsidRDefault="005A1F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FFD" w:rsidRDefault="005A1FFD" w:rsidP="005A1FFD">
      <w:r>
        <w:separator/>
      </w:r>
    </w:p>
  </w:footnote>
  <w:footnote w:type="continuationSeparator" w:id="0">
    <w:p w:rsidR="005A1FFD" w:rsidRDefault="005A1FFD" w:rsidP="005A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FD" w:rsidRDefault="005A1F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FD" w:rsidRDefault="005A1FFD" w:rsidP="005A1F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A1FFD" w:rsidRDefault="005A1FFD" w:rsidP="005A1F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Рекомендация Коллегии Евразийской экономической комиссии от 11 февраля 2025 года № 2 «О внесении изменений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них» (г. Москва) (не введена в действие)</w:t>
    </w:r>
  </w:p>
  <w:p w:rsidR="005A1FFD" w:rsidRPr="005A1FFD" w:rsidRDefault="005A1FFD" w:rsidP="005A1F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FD" w:rsidRDefault="005A1F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1FFD"/>
    <w:rsid w:val="005A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A1F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FF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A1F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FF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A1F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FF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A1F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FF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59578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595789" TargetMode="External"/><Relationship Id="rId12" Type="http://schemas.openxmlformats.org/officeDocument/2006/relationships/hyperlink" Target="http://online.zakon.kz/Document/?doc_id=33827633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40190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365283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59578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2025-02-17T04:34:00Z</dcterms:created>
  <dcterms:modified xsi:type="dcterms:W3CDTF">2025-02-17T04:34:00Z</dcterms:modified>
</cp:coreProperties>
</file>